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2043" w14:textId="77777777" w:rsidR="00E7099C" w:rsidRPr="0004419A" w:rsidRDefault="00F403F9" w:rsidP="00E7099C">
      <w:pPr>
        <w:pStyle w:val="Titre1"/>
      </w:pPr>
      <w:r>
        <w:t>Chapitre 1</w:t>
      </w:r>
      <w:r w:rsidR="00DB5188">
        <w:t xml:space="preserve"> </w:t>
      </w:r>
      <w:r w:rsidR="00E7099C">
        <w:t xml:space="preserve">- </w:t>
      </w:r>
      <w:r w:rsidR="00E7099C">
        <w:t>Étude de cas</w:t>
      </w:r>
    </w:p>
    <w:p w14:paraId="6854B74A" w14:textId="542C20C0" w:rsidR="000117E5" w:rsidRPr="00BF27D1" w:rsidRDefault="000117E5" w:rsidP="00E7099C">
      <w:pPr>
        <w:pStyle w:val="Titre2"/>
      </w:pPr>
      <w:r w:rsidRPr="00BF27D1">
        <w:t xml:space="preserve">Une </w:t>
      </w:r>
      <w:r>
        <w:t>entreprise</w:t>
      </w:r>
      <w:r w:rsidRPr="00BF27D1">
        <w:t xml:space="preserve"> qui prend </w:t>
      </w:r>
      <w:r>
        <w:t xml:space="preserve">son </w:t>
      </w:r>
      <w:r w:rsidRPr="00BF27D1">
        <w:t>essor et intègre la GRH</w:t>
      </w:r>
    </w:p>
    <w:p w14:paraId="60A2E00C" w14:textId="013CC3A7" w:rsidR="00623846" w:rsidRDefault="00EA0D6D" w:rsidP="00EA0D6D">
      <w:pPr>
        <w:pStyle w:val="Titre3"/>
        <w:spacing w:before="0" w:after="0"/>
      </w:pPr>
      <w:r>
        <w:t>Michel Racine</w:t>
      </w:r>
    </w:p>
    <w:p w14:paraId="132A7C9E" w14:textId="009BFFC0" w:rsidR="00EA0D6D" w:rsidRDefault="00EA0D6D" w:rsidP="00EA0D6D">
      <w:pPr>
        <w:pStyle w:val="Titre3"/>
        <w:spacing w:before="0" w:after="0"/>
      </w:pPr>
      <w:r>
        <w:t>Professeur titulaire</w:t>
      </w:r>
    </w:p>
    <w:p w14:paraId="7BAF13FB" w14:textId="45732161" w:rsidR="00EA0D6D" w:rsidRPr="00EA0D6D" w:rsidRDefault="00EA0D6D" w:rsidP="00EA0D6D">
      <w:pPr>
        <w:pStyle w:val="Titre3"/>
        <w:spacing w:before="0" w:after="0"/>
      </w:pPr>
      <w:r>
        <w:t>Université Laval</w:t>
      </w:r>
    </w:p>
    <w:p w14:paraId="4B9B7E5F" w14:textId="77777777" w:rsidR="008628DA" w:rsidRDefault="008628DA" w:rsidP="008628DA">
      <w:pPr>
        <w:spacing w:before="240"/>
      </w:pPr>
      <w:r>
        <w:t>Fore BDD est une petite entreprise qui occupe un créneau d’activités spécifique : elle se spécialise dans la gestion et le forage de bases de données qui alimentent des sites web. Sa clientèle, variée, compte autant des entreprises de domaines traditionnels, comme des PME (petites et moyennes entreprises) du secteur manufacturier, que des firmes de l’économie numérique.</w:t>
      </w:r>
    </w:p>
    <w:p w14:paraId="274BCEDE" w14:textId="77777777" w:rsidR="008628DA" w:rsidRDefault="008628DA" w:rsidP="008628DA">
      <w:pPr>
        <w:spacing w:before="240"/>
      </w:pPr>
      <w:r>
        <w:t xml:space="preserve">La propriétaire de Fore BDD, </w:t>
      </w:r>
      <w:r w:rsidRPr="00013528">
        <w:t xml:space="preserve">Béatrice, est une jeune femme talentueuse : en plus d’être </w:t>
      </w:r>
      <w:proofErr w:type="gramStart"/>
      <w:r w:rsidRPr="00013528">
        <w:t>une as</w:t>
      </w:r>
      <w:proofErr w:type="gramEnd"/>
      <w:r w:rsidRPr="00013528">
        <w:t xml:space="preserve"> de la programmation</w:t>
      </w:r>
      <w:r>
        <w:t>, elle est dotée d’une redoutable capacité de persuasion, ce qui lui a permis de trouver ses premiers clients. D’ailleurs, les contrats se multiplient et elle craint de ne bientôt plus savoir où donner de la tête. Elle reste cependant soucieuse de prendre de bonnes décisions et tient à se donner du temps pour réfléchir à l’avenir de son entreprise : Béatrice veut que Fore BDD repose sur des fondements durables. Réaliste, elle constate que son organisation ne pourra connaître son plein essor qu’avec l’apport de personnes détenant des compétences différentes des siennes, tout en prenant en compte l’environnement dans lequel l’entreprise déploie ses activités.</w:t>
      </w:r>
    </w:p>
    <w:p w14:paraId="224BD1A6" w14:textId="77777777" w:rsidR="008628DA" w:rsidRDefault="008628DA" w:rsidP="008628DA">
      <w:pPr>
        <w:spacing w:before="240"/>
      </w:pPr>
      <w:r>
        <w:t>Après un temps de réflexion, Béatrice remarque que les besoins en main-d’œuvre de Fore BDD sont diversifiés. L’entreprise devra recruter principalement :</w:t>
      </w:r>
    </w:p>
    <w:p w14:paraId="51B68D38" w14:textId="6C883739" w:rsidR="008628DA" w:rsidRDefault="008628DA" w:rsidP="006927B2">
      <w:pPr>
        <w:pStyle w:val="Paragraphedeliste"/>
        <w:numPr>
          <w:ilvl w:val="0"/>
          <w:numId w:val="33"/>
        </w:numPr>
        <w:spacing w:before="240"/>
      </w:pPr>
      <w:proofErr w:type="gramStart"/>
      <w:r>
        <w:t>des</w:t>
      </w:r>
      <w:proofErr w:type="gramEnd"/>
      <w:r>
        <w:t xml:space="preserve"> spécialistes en gestion et en forage de bases de données – elle sait que les candidats se trouvent dans les établissements d’enseignement, mais aussi parmi les immigrants qualifiés ; elle aimerait trouver un chef d’équipe avec qui partager certaines de ses responsabilités de direction ;</w:t>
      </w:r>
    </w:p>
    <w:p w14:paraId="635474DC" w14:textId="02861373" w:rsidR="008628DA" w:rsidRDefault="008628DA" w:rsidP="006927B2">
      <w:pPr>
        <w:pStyle w:val="Paragraphedeliste"/>
        <w:numPr>
          <w:ilvl w:val="0"/>
          <w:numId w:val="33"/>
        </w:numPr>
        <w:spacing w:before="240"/>
      </w:pPr>
      <w:proofErr w:type="gramStart"/>
      <w:r>
        <w:t>au</w:t>
      </w:r>
      <w:proofErr w:type="gramEnd"/>
      <w:r>
        <w:t xml:space="preserve"> moins un représentant des ventes expérimenté, qui prospectera le secteur manufacturier ; son intuition lui suggère que, pour aider ses clients de domaines traditionnels à réduire la fracture numérique, elle devrait faire appel à une personne ayant su, au fil du temps, s’adapter aux différentes vagues d’avancées technologiques ;</w:t>
      </w:r>
    </w:p>
    <w:p w14:paraId="3A13FBC1" w14:textId="27B8A4AE" w:rsidR="008628DA" w:rsidRDefault="008628DA" w:rsidP="006927B2">
      <w:pPr>
        <w:pStyle w:val="Paragraphedeliste"/>
        <w:numPr>
          <w:ilvl w:val="0"/>
          <w:numId w:val="33"/>
        </w:numPr>
        <w:spacing w:before="240"/>
      </w:pPr>
      <w:proofErr w:type="gramStart"/>
      <w:r>
        <w:t>un</w:t>
      </w:r>
      <w:proofErr w:type="gramEnd"/>
      <w:r>
        <w:t xml:space="preserve"> adjoint administratif qui l’épaulera.</w:t>
      </w:r>
    </w:p>
    <w:p w14:paraId="2BAE012B" w14:textId="77777777" w:rsidR="008628DA" w:rsidRDefault="008628DA" w:rsidP="008628DA">
      <w:pPr>
        <w:spacing w:before="240"/>
      </w:pPr>
      <w:r w:rsidRPr="00013528">
        <w:t>Béatrice a la sagesse de se faire accompagner dans cette première phase d’expansion par un spécialiste en gestion des ressources humaines (GRH).</w:t>
      </w:r>
      <w:r>
        <w:t xml:space="preserve"> Après un échange fructueux, ils concluent que ces postes sont susceptibles d’être occupés par des catégories différentes de gens : jeunes, séniors ; hommes, femmes ; membres de la majorité, membres de minorités, immigrants.  Béatrice se demande comment elle pourra tenir compte des spécificités de chacune de ces personnes, tant au moment de recruter (doit-elle s’appuyer seulement sur les applications </w:t>
      </w:r>
      <w:r>
        <w:lastRenderedPageBreak/>
        <w:t>numériques en matière de dotation ?) que dans la gestion quotidienne des futurs employés. Son accompagnateur la rassure à ce sujet et l’amène à préciser sa stratégie relative à la GRH.</w:t>
      </w:r>
    </w:p>
    <w:p w14:paraId="4D6F913B" w14:textId="77777777" w:rsidR="008628DA" w:rsidRDefault="008628DA" w:rsidP="008628DA">
      <w:pPr>
        <w:spacing w:before="240"/>
      </w:pPr>
      <w:r>
        <w:t>La propriétaire de Fore BDD est pleinement consciente de la nécessité d’organiser de manière adéquate la dimension humaine de l’entreprise. On voit poindre chez elle le besoin d’en savoir davantage sur les grands principes de la fonction GRH, car elle n’a pas étudié dans le domaine. Elle s’interroge aussi sur le rôle que pourrait jouer un futur service des RH (SRH) dans son entreprise et comment le ou la responsable de ce service pourrait l’appuyer dans sa prise de décision. Plus précisément, elle se demande comment se répartiront les responsabilités entre les gestionnaires et les professionnels qui travailleront dans ce service.</w:t>
      </w:r>
    </w:p>
    <w:p w14:paraId="43B5901A" w14:textId="77777777" w:rsidR="00E267B1" w:rsidRPr="00D01487" w:rsidRDefault="00E267B1" w:rsidP="00E267B1">
      <w:pPr>
        <w:pStyle w:val="Titre4"/>
      </w:pPr>
      <w:r w:rsidRPr="00D01487">
        <w:t>Q</w:t>
      </w:r>
      <w:bookmarkStart w:id="0" w:name="_GoBack"/>
      <w:bookmarkEnd w:id="0"/>
      <w:r w:rsidRPr="00D01487">
        <w:t>uestions</w:t>
      </w:r>
    </w:p>
    <w:p w14:paraId="27660FD0" w14:textId="04DD2441" w:rsidR="00E267B1" w:rsidRDefault="00E267B1" w:rsidP="00E267B1">
      <w:pPr>
        <w:pStyle w:val="Paragraphedeliste"/>
        <w:numPr>
          <w:ilvl w:val="0"/>
          <w:numId w:val="32"/>
        </w:numPr>
      </w:pPr>
      <w:r>
        <w:t>Pour chaque poste offert, donnez un portrait général des caractéristiques à prendre en compte chez les groupes les plus susceptibles de répondre favorablement aux besoins de main-d’œuvre de l’entreprise Fore BDD.</w:t>
      </w:r>
    </w:p>
    <w:p w14:paraId="1179544A" w14:textId="7AAD4DE6" w:rsidR="00E267B1" w:rsidRDefault="00E267B1" w:rsidP="00E267B1">
      <w:pPr>
        <w:pStyle w:val="Paragraphedeliste"/>
        <w:numPr>
          <w:ilvl w:val="0"/>
          <w:numId w:val="32"/>
        </w:numPr>
      </w:pPr>
      <w:r>
        <w:t>Béatrice veut en savoir davantage sur les principes de base de la fonction RH. Quels grands objectifs de la GRH s’avèrent particulièrement pertinents dans la situation actuelle de Fore BDD ?</w:t>
      </w:r>
    </w:p>
    <w:p w14:paraId="76A3576C" w14:textId="6E328BB9" w:rsidR="00E267B1" w:rsidRDefault="00E267B1" w:rsidP="00E267B1">
      <w:pPr>
        <w:pStyle w:val="Paragraphedeliste"/>
        <w:numPr>
          <w:ilvl w:val="0"/>
          <w:numId w:val="32"/>
        </w:numPr>
      </w:pPr>
      <w:r>
        <w:t>Mettez en valeur le rôle que jouerait un éventuel SRH dans l’entreprise en en présentant différentes caractéristiques pertinentes.</w:t>
      </w:r>
    </w:p>
    <w:p w14:paraId="735DC171" w14:textId="63D43B81" w:rsidR="00E267B1" w:rsidRDefault="00E267B1" w:rsidP="00E267B1">
      <w:pPr>
        <w:pStyle w:val="Paragraphedeliste"/>
        <w:numPr>
          <w:ilvl w:val="0"/>
          <w:numId w:val="32"/>
        </w:numPr>
      </w:pPr>
      <w:r>
        <w:t>Comment devraient se répartir les responsabilités entre la direction de l’entreprise et les professionnels qui travailleraient dans ce SRH ?</w:t>
      </w:r>
    </w:p>
    <w:p w14:paraId="4B3DB315" w14:textId="6B7010BA" w:rsidR="007277EC" w:rsidRDefault="007277EC" w:rsidP="003F0FA5">
      <w:pPr>
        <w:spacing w:before="240"/>
      </w:pPr>
    </w:p>
    <w:p w14:paraId="0EED47A5" w14:textId="77777777" w:rsidR="00174253" w:rsidRDefault="00174253" w:rsidP="00E7099C">
      <w:pPr>
        <w:pStyle w:val="Titre2"/>
      </w:pPr>
      <w:r>
        <w:t>NOTES PÉDAGOGIQUES</w:t>
      </w:r>
    </w:p>
    <w:p w14:paraId="66B4BA5B" w14:textId="77777777" w:rsidR="00174253" w:rsidRDefault="00174253" w:rsidP="008C6B48">
      <w:r>
        <w:t xml:space="preserve">Le cas BDD est un prétexte pour échanger d’abord sur les différentes données </w:t>
      </w:r>
      <w:proofErr w:type="gramStart"/>
      <w:r>
        <w:t>sociodémographiques</w:t>
      </w:r>
      <w:proofErr w:type="gramEnd"/>
      <w:r>
        <w:t xml:space="preserve"> qui caractérisent le Québec et le Canada d’aujourd’hui, puis sur les objectifs fondamentaux et les rôles de la fonction GRH. L’étudiant est appelé à prendre conscience de l’importance de ces points essentiels dans un cadre d’échange approprié (par exemple, en équipe de travail).</w:t>
      </w:r>
    </w:p>
    <w:p w14:paraId="3E5E3171" w14:textId="17930CDE" w:rsidR="00174253" w:rsidRPr="00174253" w:rsidRDefault="00241F9B" w:rsidP="00241F9B">
      <w:pPr>
        <w:pStyle w:val="Titre4"/>
      </w:pPr>
      <w:r>
        <w:t xml:space="preserve">1. </w:t>
      </w:r>
      <w:r w:rsidR="00174253" w:rsidRPr="00174253">
        <w:t>Pour chaque poste offert, donnez un portrait général des caractéristiques à prendre en compte chez les groupes les plus susceptibles de répondre favorablement aux besoins de main-d’œuvre de l’entreprise Fore BDD.</w:t>
      </w:r>
    </w:p>
    <w:p w14:paraId="3E9B839C" w14:textId="77777777" w:rsidR="00174253" w:rsidRDefault="00174253" w:rsidP="00174253">
      <w:r>
        <w:t>La lecture de l’environnement de l’organisation, et plus spécifiquement des caractéristiques sociodémographiques de son personnel à venir, permet d’orienter et d’adapter les décisions à prendre par rapport aux différents groupes à embaucher.</w:t>
      </w:r>
    </w:p>
    <w:p w14:paraId="6F14BD0E" w14:textId="30878D2B" w:rsidR="00174253" w:rsidRDefault="00241F9B" w:rsidP="00B965E9">
      <w:r>
        <w:t xml:space="preserve">• </w:t>
      </w:r>
      <w:r w:rsidR="00174253">
        <w:t xml:space="preserve">On trouvera surtout des spécialistes des bases de données chez les jeunes adultes. Lorsque ceux-ci sont qualifiés dans des professions en forte demande, comme dans le secteur des technologies de l’information, ils ont tendance à être ambitieux et veulent progresser rapidement. </w:t>
      </w:r>
      <w:r w:rsidR="00174253">
        <w:lastRenderedPageBreak/>
        <w:t>Cette catégorie de population étant en général très scolarisée, elle se révèle plus réceptive aux décisions dûment justifiées qu’à l’autorité exercée de manière unilatérale. On peut aussi recruter des spécialistes en gestion et en forage de bases de données (BDD) dans le bassin de personnes immigrantes qualifiées, dont il faudra notamment s’assurer de la maîtrise du français ; au besoin, on devra trouver les moyens de les accompagner en ce sens (au Québec, il existe des programmes adaptés de francisation</w:t>
      </w:r>
      <w:r w:rsidR="00174253" w:rsidRPr="00761D84">
        <w:t xml:space="preserve"> </w:t>
      </w:r>
      <w:r w:rsidR="00174253">
        <w:t>pour répondre à ce besoin). L’intégration de personnes immigrantes dans une entreprise requiert aussi de la part des supérieurs un minimum de sensibilité aux différences culturelles ; il ne faut pas hésiter à vérifier cette compétence chez le ou la chef d’équipe qu’on compte embaucher, voire à exiger de lui ou d’elle de suivre peu après son arrivée une formation adaptée en relations interculturelles.</w:t>
      </w:r>
    </w:p>
    <w:p w14:paraId="09A5A392" w14:textId="5E72D69F" w:rsidR="00174253" w:rsidRDefault="00241F9B" w:rsidP="00B965E9">
      <w:r>
        <w:t xml:space="preserve">• </w:t>
      </w:r>
      <w:r w:rsidR="00174253">
        <w:t>Trouver un candidat expérimenté pour remplir la fonction de représentant auprès d’entreprises manufacturières implique de recruter auprès de catégories de population plus âgées. Ces personnes (en particulier le groupe des 55-65 ans) sont susceptibles d’être en situation de prolongation de carrière, que ce soit volontaire ou non. Elles pourraient demander à ne travailler que quelques jours par semaine, et les attentes de l’entreprise à leur endroit devraient alors être modulées en fonction de leur capacité à tirer parti de leur expérience et non du temps consacré au travail comme tel. Dans un tel contexte, une bonne part de la rémunération sera variable (à commission) ; Béatrice devra être sensible au fait qu’elle pourrait trouver de bonnes candidatures à la périphérie, voire hors des réseaux sociaux auxquels les applications en e-recrutement qu’elle maîtrise lui donneraient accès. Par exemple, pourquoi ne pas participer aux activités de réseautage de la chambre de commerce de la région afin de repérer des candidats et des clients potentiels ? Enfin, il est possible que la maîtrise des produits et des services offerts (il s’agit d’un domaine de pointe dans le numérique) requière une formation adaptée, que la dirigeante devra soit faire dispenser, soit dispenser elle-même.</w:t>
      </w:r>
    </w:p>
    <w:p w14:paraId="3280D7A8" w14:textId="658BCD74" w:rsidR="00174253" w:rsidRDefault="00241F9B" w:rsidP="00B965E9">
      <w:r>
        <w:t xml:space="preserve">• </w:t>
      </w:r>
      <w:r w:rsidR="00174253">
        <w:t>Les postes d’adjoint(e) administratif(</w:t>
      </w:r>
      <w:proofErr w:type="spellStart"/>
      <w:r w:rsidR="00174253">
        <w:t>ve</w:t>
      </w:r>
      <w:proofErr w:type="spellEnd"/>
      <w:r w:rsidR="00174253">
        <w:t>) ont tendance à être occupés par des femmes, encore majoritaires dans les cours de bureautique. Cependant, de jeunes entreprises comme Fore BDD pourraient contribuer à faire évoluer les mentalités en cherchant à recruter un homme, à l’intérieur des limites du droit. Reste que ces postes sont souvent occupés par des parents de jeunes enfants, plus susceptibles que les autres de demander à travailler à temps partiel, à s’absenter pour s’occuper d’un enfant malade et à bénéficier pleinement de leur congé parental (de maternité ou de paternité). Le Régime québécois d’assurance parentale (RQAP) est un acquis social important, et il est de plus en plus accepté que les parents, ce qui comprend les pères, saisissent l’occasion d’assister aux premiers jours de vie de leur progéniture.</w:t>
      </w:r>
    </w:p>
    <w:p w14:paraId="13DE03AD" w14:textId="5E4013DF" w:rsidR="00174253" w:rsidRPr="00241F9B" w:rsidRDefault="00241F9B" w:rsidP="00241F9B">
      <w:pPr>
        <w:pStyle w:val="Titre4"/>
      </w:pPr>
      <w:r>
        <w:t xml:space="preserve">2. </w:t>
      </w:r>
      <w:r w:rsidR="00174253" w:rsidRPr="00241F9B">
        <w:t>Béatrice veut en savoir davantage sur les principes de base de la fonction RH. Quels grands objectifs de la GRH s’avèrent particulièrement pertinents dans la situation actuelle de Fore BDD ?</w:t>
      </w:r>
    </w:p>
    <w:p w14:paraId="473FCDCD" w14:textId="77777777" w:rsidR="00174253" w:rsidRDefault="00174253" w:rsidP="00174253">
      <w:r>
        <w:t>Cette question permet aux personnes qui ont un premier contact avec la GRH d’être au fait des grandes visées de la fonction RH. Il est important de noter que l’ensemble de l’équipe de direction a un rôle à jouer à cet égard et que cette responsabilité ne relève pas seulement du service des ressources humaines (SRH). Nous y reviendrons plus loin.</w:t>
      </w:r>
    </w:p>
    <w:p w14:paraId="75C71606" w14:textId="77777777" w:rsidR="00174253" w:rsidRDefault="00174253" w:rsidP="00174253">
      <w:r>
        <w:lastRenderedPageBreak/>
        <w:t>• Il importe d’attirer des candidats qualifiés et de prendre conscience, en s’inspirant du contenu de la question précédente, que les moyens pour ce faire sont diversifiés. Ceux-ci sont basés sur un large éventail de types de réseaux qui, comme nous le verrons dans le chapitre portant sur le recrutement, ne se résument pas aux seules applications numériques.</w:t>
      </w:r>
    </w:p>
    <w:p w14:paraId="71A4DB3D" w14:textId="77777777" w:rsidR="00174253" w:rsidRDefault="00174253" w:rsidP="00174253">
      <w:r>
        <w:t>• On doit retenir les employés qui fournissent un rendement satisfaisant. C’est l’occasion de parler de rémunération, certes, mais aussi d’autres facteurs contribuant à la rétention : composition du poste, organisation du travail, respect des employés et des règles de droit. Dans tous ces cas, les membres de la direction et les responsables de la supervision jouent un rôle crucial, la responsabilité des conseillers RH étant de les… conseiller de manière adaptée.</w:t>
      </w:r>
    </w:p>
    <w:p w14:paraId="5C7BA520" w14:textId="77777777" w:rsidR="00174253" w:rsidRDefault="00174253" w:rsidP="00174253">
      <w:r>
        <w:t>• Il faut accroître la motivation des employés : tâches attribuées, lien à établir entre le travail réalisé et la mission de l’entreprise (sans doute à définir dans le cas présent), organisation adaptée du travail, supervision respectueuse et encourageante du personnel grâce à la reconnaissance. Tous ces thèmes seront abordés dans les prochains chapitres, et les apprenants ont déjà conscience, du moins intuitivement, de leur importance.</w:t>
      </w:r>
    </w:p>
    <w:p w14:paraId="0E7AA11B" w14:textId="77777777" w:rsidR="00174253" w:rsidRDefault="00174253" w:rsidP="00174253">
      <w:pPr>
        <w:spacing w:after="240"/>
      </w:pPr>
      <w:r>
        <w:t>• Il est essentiel de favoriser l’épanouissement des employés. On doit leur faire part de l’existence d’activités de GRH comme le développement des compétences et la gestion de carrière, et, particulièrement dans le cas qui nous occupe, prêter attention à la diversité des compétences dont font preuve les membres de l’entreprise dans l’exécution de leurs tâches, ainsi qu’à leur intérêt à faire évoluer celles-ci et, plus généralement, leur carrière.</w:t>
      </w:r>
    </w:p>
    <w:p w14:paraId="1183528B" w14:textId="77777777" w:rsidR="00174253" w:rsidRPr="006706F1" w:rsidRDefault="00174253" w:rsidP="00241F9B">
      <w:pPr>
        <w:pStyle w:val="Titre4"/>
      </w:pPr>
      <w:r w:rsidRPr="006706F1">
        <w:t>3. Mettez en valeur le rôle que jouerait un éventuel SRH dans l’entreprise en en présentant différentes caractéristiques pertinentes.</w:t>
      </w:r>
    </w:p>
    <w:p w14:paraId="760247C7" w14:textId="77777777" w:rsidR="00174253" w:rsidRDefault="00174253" w:rsidP="00174253">
      <w:r>
        <w:t>Cette question offre l’occasion de traiter du rôle qu’un SRH peut jouer dans une entreprise, tout en abordant les activités auxquelles participe le service. Dans le cas de Fore BDD, un SRH bourgeonnant pourrait contribuer à :</w:t>
      </w:r>
    </w:p>
    <w:p w14:paraId="5088A0B7" w14:textId="77777777" w:rsidR="00174253" w:rsidRDefault="00174253" w:rsidP="00174253">
      <w:r>
        <w:t>• appuyer le processus de dotation (recrutement et sélection des candidats, accueil et intégration des personnes embauchées) ; dans le cas présent, il s’agit d’un besoin pressant ;</w:t>
      </w:r>
    </w:p>
    <w:p w14:paraId="248A7D66" w14:textId="77777777" w:rsidR="00174253" w:rsidRDefault="00174253" w:rsidP="00174253">
      <w:r>
        <w:t>• mettre en place des politiques donnant une cohérence à des activités d’importance cruciale, comme la rémunération tant directe qu’indirecte (on peut par exemple présenter aux apprenants la diversité des avantages sociaux en s’inspirant de celle qu’on trouve dans les profils recherchés à l’intérieur du cas) ;</w:t>
      </w:r>
    </w:p>
    <w:p w14:paraId="6FF981A0" w14:textId="77777777" w:rsidR="00174253" w:rsidRDefault="00174253" w:rsidP="00174253">
      <w:r>
        <w:t>• contrôler le travail fourni par les employés par la mise en place d’un système adapté de gestion du temps de travail ou d’une procédure d’évaluation du rendement, l’idée étant encore une fois d’ouvrir les apprenants aux thèmes à aborder dans les prochains chapitres, mais surtout de leur faire prendre conscience du caractère primordial de la cohérence à établir entre les différentes pratiques retenues ;</w:t>
      </w:r>
    </w:p>
    <w:p w14:paraId="51EED395" w14:textId="77777777" w:rsidR="00174253" w:rsidRDefault="00174253" w:rsidP="00174253">
      <w:pPr>
        <w:spacing w:after="240"/>
      </w:pPr>
      <w:r>
        <w:lastRenderedPageBreak/>
        <w:t>• concevoir et réaliser la stratégie d’entreprise, Fore BDD comptant particulièrement sur la qualité des compétences de son personnel pour réaliser sa mission ; un SRH orienté de manière adéquate contribue pleinement à la réalisation de la mission d’entreprise.</w:t>
      </w:r>
    </w:p>
    <w:p w14:paraId="5237C9BA" w14:textId="77777777" w:rsidR="00174253" w:rsidRPr="006706F1" w:rsidRDefault="00174253" w:rsidP="00241F9B">
      <w:pPr>
        <w:pStyle w:val="Titre4"/>
      </w:pPr>
      <w:r w:rsidRPr="006706F1">
        <w:t>4. Comment devraient se répartir les responsabilités entre la direction de l’entreprise et les professionnels qui travailleraient dans ce SRH ?</w:t>
      </w:r>
    </w:p>
    <w:p w14:paraId="4142D32A" w14:textId="77777777" w:rsidR="00174253" w:rsidRDefault="00174253" w:rsidP="00174253">
      <w:r>
        <w:t>L’ensemble de ces points permet de comprendre que toutes les activités d’un SRH sont exercées en responsabilité partagée entre le personnel du service et la direction de l’entreprise, et ce, à tous les niveaux hiérarchiques.</w:t>
      </w:r>
    </w:p>
    <w:p w14:paraId="453EA283" w14:textId="77777777" w:rsidR="00174253" w:rsidRPr="0071497A" w:rsidRDefault="00174253" w:rsidP="003F0FA5">
      <w:pPr>
        <w:spacing w:before="240"/>
      </w:pPr>
    </w:p>
    <w:sectPr w:rsidR="00174253" w:rsidRPr="0071497A"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E628" w14:textId="77777777" w:rsidR="004A0850" w:rsidRDefault="004A0850" w:rsidP="00D14FC7">
      <w:r>
        <w:separator/>
      </w:r>
    </w:p>
  </w:endnote>
  <w:endnote w:type="continuationSeparator" w:id="0">
    <w:p w14:paraId="49B39CC2" w14:textId="77777777" w:rsidR="004A0850" w:rsidRDefault="004A0850"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xml:space="preserve">© </w:t>
    </w:r>
    <w:r w:rsidRPr="00431FB1">
      <w:rPr>
        <w:sz w:val="16"/>
        <w:lang w:val="ru-RU"/>
      </w:rPr>
      <w:t>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7C845" w14:textId="77777777" w:rsidR="004A0850" w:rsidRDefault="004A0850" w:rsidP="00D14FC7">
      <w:r>
        <w:separator/>
      </w:r>
    </w:p>
  </w:footnote>
  <w:footnote w:type="continuationSeparator" w:id="0">
    <w:p w14:paraId="735D80D9" w14:textId="77777777" w:rsidR="004A0850" w:rsidRDefault="004A0850"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712C"/>
    <w:multiLevelType w:val="hybridMultilevel"/>
    <w:tmpl w:val="C7083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A86D1A"/>
    <w:multiLevelType w:val="hybridMultilevel"/>
    <w:tmpl w:val="DC24123E"/>
    <w:lvl w:ilvl="0" w:tplc="0C0C000F">
      <w:start w:val="1"/>
      <w:numFmt w:val="decimal"/>
      <w:lvlText w:val="%1."/>
      <w:lvlJc w:val="left"/>
      <w:pPr>
        <w:ind w:left="360" w:hanging="360"/>
      </w:pPr>
      <w:rPr>
        <w:rFonts w:hint="default"/>
      </w:rPr>
    </w:lvl>
    <w:lvl w:ilvl="1" w:tplc="4A8A22F6">
      <w:start w:val="1"/>
      <w:numFmt w:val="bullet"/>
      <w:lvlText w:val="•"/>
      <w:lvlJc w:val="left"/>
      <w:pPr>
        <w:ind w:left="1080" w:hanging="360"/>
      </w:pPr>
      <w:rPr>
        <w:rFonts w:ascii="Arial" w:eastAsiaTheme="minorHAnsi" w:hAnsi="Arial" w:cs="Aria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4747BBC"/>
    <w:multiLevelType w:val="hybridMultilevel"/>
    <w:tmpl w:val="613479DE"/>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5496992"/>
    <w:multiLevelType w:val="hybridMultilevel"/>
    <w:tmpl w:val="8D2C4F14"/>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8034D5"/>
    <w:multiLevelType w:val="hybridMultilevel"/>
    <w:tmpl w:val="3ED854F6"/>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286EE4"/>
    <w:multiLevelType w:val="hybridMultilevel"/>
    <w:tmpl w:val="16A4DB1C"/>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EA01F6"/>
    <w:multiLevelType w:val="hybridMultilevel"/>
    <w:tmpl w:val="F160897A"/>
    <w:lvl w:ilvl="0" w:tplc="4CAAA8CA">
      <w:start w:val="1"/>
      <w:numFmt w:val="lowerLetter"/>
      <w:lvlText w:val="%1)"/>
      <w:lvlJc w:val="left"/>
      <w:pPr>
        <w:ind w:left="720" w:hanging="360"/>
      </w:pPr>
      <w:rPr>
        <w:rFonts w:ascii="Calibri" w:hAnsi="Calibri"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2A7CEA"/>
    <w:multiLevelType w:val="multilevel"/>
    <w:tmpl w:val="73C27218"/>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C65E41"/>
    <w:multiLevelType w:val="hybridMultilevel"/>
    <w:tmpl w:val="7A72D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6411AC"/>
    <w:multiLevelType w:val="multilevel"/>
    <w:tmpl w:val="D2C672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79648A"/>
    <w:multiLevelType w:val="hybridMultilevel"/>
    <w:tmpl w:val="8BB6544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68162B0"/>
    <w:multiLevelType w:val="hybridMultilevel"/>
    <w:tmpl w:val="8E2252EA"/>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9F33C5"/>
    <w:multiLevelType w:val="hybridMultilevel"/>
    <w:tmpl w:val="9AF2B498"/>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C43965"/>
    <w:multiLevelType w:val="hybridMultilevel"/>
    <w:tmpl w:val="7FD47C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662140C"/>
    <w:multiLevelType w:val="hybridMultilevel"/>
    <w:tmpl w:val="7B40A954"/>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7C7B6F"/>
    <w:multiLevelType w:val="hybridMultilevel"/>
    <w:tmpl w:val="3D10E7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36FF0C0D"/>
    <w:multiLevelType w:val="hybridMultilevel"/>
    <w:tmpl w:val="15441F64"/>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A4F2015"/>
    <w:multiLevelType w:val="hybridMultilevel"/>
    <w:tmpl w:val="1092FF1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CD156F"/>
    <w:multiLevelType w:val="hybridMultilevel"/>
    <w:tmpl w:val="5238B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BA7232"/>
    <w:multiLevelType w:val="hybridMultilevel"/>
    <w:tmpl w:val="CB46BFAA"/>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41523F4"/>
    <w:multiLevelType w:val="hybridMultilevel"/>
    <w:tmpl w:val="2812C158"/>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246418"/>
    <w:multiLevelType w:val="hybridMultilevel"/>
    <w:tmpl w:val="82E89C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9F3EED"/>
    <w:multiLevelType w:val="hybridMultilevel"/>
    <w:tmpl w:val="F9F2844E"/>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DD51DA"/>
    <w:multiLevelType w:val="hybridMultilevel"/>
    <w:tmpl w:val="F860299A"/>
    <w:lvl w:ilvl="0" w:tplc="4CCED058">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600ACB"/>
    <w:multiLevelType w:val="hybridMultilevel"/>
    <w:tmpl w:val="1550F7E4"/>
    <w:lvl w:ilvl="0" w:tplc="4EFA1DFE">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696B80"/>
    <w:multiLevelType w:val="hybridMultilevel"/>
    <w:tmpl w:val="CFFC852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9FC6889"/>
    <w:multiLevelType w:val="hybridMultilevel"/>
    <w:tmpl w:val="387C62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BDA093F"/>
    <w:multiLevelType w:val="multilevel"/>
    <w:tmpl w:val="F920D4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187DB8"/>
    <w:multiLevelType w:val="hybridMultilevel"/>
    <w:tmpl w:val="B6008ADC"/>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580507"/>
    <w:multiLevelType w:val="hybridMultilevel"/>
    <w:tmpl w:val="D2C672A8"/>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3453B9"/>
    <w:multiLevelType w:val="hybridMultilevel"/>
    <w:tmpl w:val="66F418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A2A2ABD"/>
    <w:multiLevelType w:val="hybridMultilevel"/>
    <w:tmpl w:val="A59272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FF32C8"/>
    <w:multiLevelType w:val="hybridMultilevel"/>
    <w:tmpl w:val="2004B268"/>
    <w:lvl w:ilvl="0" w:tplc="3FD8C74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34F7514"/>
    <w:multiLevelType w:val="hybridMultilevel"/>
    <w:tmpl w:val="748EE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CF7DB3"/>
    <w:multiLevelType w:val="hybridMultilevel"/>
    <w:tmpl w:val="29C8699A"/>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DE452B"/>
    <w:multiLevelType w:val="multilevel"/>
    <w:tmpl w:val="382EA4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D257CF"/>
    <w:multiLevelType w:val="hybridMultilevel"/>
    <w:tmpl w:val="CECACF32"/>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43756B"/>
    <w:multiLevelType w:val="hybridMultilevel"/>
    <w:tmpl w:val="C3CCE4DE"/>
    <w:lvl w:ilvl="0" w:tplc="BD620E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35"/>
  </w:num>
  <w:num w:numId="3">
    <w:abstractNumId w:val="19"/>
  </w:num>
  <w:num w:numId="4">
    <w:abstractNumId w:val="33"/>
  </w:num>
  <w:num w:numId="5">
    <w:abstractNumId w:val="13"/>
  </w:num>
  <w:num w:numId="6">
    <w:abstractNumId w:val="31"/>
  </w:num>
  <w:num w:numId="7">
    <w:abstractNumId w:val="0"/>
  </w:num>
  <w:num w:numId="8">
    <w:abstractNumId w:val="5"/>
  </w:num>
  <w:num w:numId="9">
    <w:abstractNumId w:val="11"/>
  </w:num>
  <w:num w:numId="10">
    <w:abstractNumId w:val="38"/>
  </w:num>
  <w:num w:numId="11">
    <w:abstractNumId w:val="10"/>
  </w:num>
  <w:num w:numId="12">
    <w:abstractNumId w:val="7"/>
  </w:num>
  <w:num w:numId="13">
    <w:abstractNumId w:val="8"/>
  </w:num>
  <w:num w:numId="14">
    <w:abstractNumId w:val="39"/>
  </w:num>
  <w:num w:numId="15">
    <w:abstractNumId w:val="23"/>
  </w:num>
  <w:num w:numId="16">
    <w:abstractNumId w:val="6"/>
  </w:num>
  <w:num w:numId="17">
    <w:abstractNumId w:val="22"/>
  </w:num>
  <w:num w:numId="18">
    <w:abstractNumId w:val="2"/>
  </w:num>
  <w:num w:numId="19">
    <w:abstractNumId w:val="26"/>
  </w:num>
  <w:num w:numId="20">
    <w:abstractNumId w:val="37"/>
  </w:num>
  <w:num w:numId="21">
    <w:abstractNumId w:val="25"/>
  </w:num>
  <w:num w:numId="22">
    <w:abstractNumId w:val="36"/>
  </w:num>
  <w:num w:numId="23">
    <w:abstractNumId w:val="24"/>
  </w:num>
  <w:num w:numId="24">
    <w:abstractNumId w:val="16"/>
  </w:num>
  <w:num w:numId="25">
    <w:abstractNumId w:val="14"/>
  </w:num>
  <w:num w:numId="26">
    <w:abstractNumId w:val="29"/>
  </w:num>
  <w:num w:numId="27">
    <w:abstractNumId w:val="1"/>
  </w:num>
  <w:num w:numId="28">
    <w:abstractNumId w:val="30"/>
  </w:num>
  <w:num w:numId="29">
    <w:abstractNumId w:val="9"/>
  </w:num>
  <w:num w:numId="30">
    <w:abstractNumId w:val="34"/>
  </w:num>
  <w:num w:numId="31">
    <w:abstractNumId w:val="28"/>
  </w:num>
  <w:num w:numId="32">
    <w:abstractNumId w:val="15"/>
  </w:num>
  <w:num w:numId="33">
    <w:abstractNumId w:val="4"/>
  </w:num>
  <w:num w:numId="34">
    <w:abstractNumId w:val="21"/>
  </w:num>
  <w:num w:numId="35">
    <w:abstractNumId w:val="18"/>
  </w:num>
  <w:num w:numId="36">
    <w:abstractNumId w:val="3"/>
  </w:num>
  <w:num w:numId="37">
    <w:abstractNumId w:val="27"/>
  </w:num>
  <w:num w:numId="38">
    <w:abstractNumId w:val="32"/>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D5E55"/>
    <w:rsid w:val="0021779E"/>
    <w:rsid w:val="00224F16"/>
    <w:rsid w:val="00225221"/>
    <w:rsid w:val="0023625D"/>
    <w:rsid w:val="00241F9B"/>
    <w:rsid w:val="002617B4"/>
    <w:rsid w:val="00275CB8"/>
    <w:rsid w:val="00276B8A"/>
    <w:rsid w:val="00281F62"/>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43FE"/>
    <w:rsid w:val="00920219"/>
    <w:rsid w:val="009231C0"/>
    <w:rsid w:val="00990800"/>
    <w:rsid w:val="00991994"/>
    <w:rsid w:val="009A5EF6"/>
    <w:rsid w:val="009B04D2"/>
    <w:rsid w:val="009C34F9"/>
    <w:rsid w:val="009D1A3A"/>
    <w:rsid w:val="009D5A5B"/>
    <w:rsid w:val="009D5D53"/>
    <w:rsid w:val="009E0BF2"/>
    <w:rsid w:val="009F524A"/>
    <w:rsid w:val="009F6E0E"/>
    <w:rsid w:val="00A00A07"/>
    <w:rsid w:val="00A106BE"/>
    <w:rsid w:val="00A227FD"/>
    <w:rsid w:val="00A22DCE"/>
    <w:rsid w:val="00A34074"/>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7"/>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BB38-2B31-41E8-B4D4-A5940088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1921</Words>
  <Characters>10569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12466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17</cp:revision>
  <cp:lastPrinted>2019-03-13T15:05:00Z</cp:lastPrinted>
  <dcterms:created xsi:type="dcterms:W3CDTF">2020-12-03T15:12:00Z</dcterms:created>
  <dcterms:modified xsi:type="dcterms:W3CDTF">2020-12-03T15:30:00Z</dcterms:modified>
  <cp:category/>
</cp:coreProperties>
</file>