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3F401" w14:textId="58D3A65B" w:rsidR="00A1168C" w:rsidRDefault="00A1168C" w:rsidP="00A1168C">
      <w:pPr>
        <w:pStyle w:val="Titre1"/>
      </w:pPr>
      <w:r w:rsidRPr="00A1168C">
        <w:t>CHAPITRE 2</w:t>
      </w:r>
      <w:r w:rsidR="002654F7">
        <w:t xml:space="preserve"> – Étude de cas</w:t>
      </w:r>
      <w:bookmarkStart w:id="0" w:name="_GoBack"/>
      <w:bookmarkEnd w:id="0"/>
    </w:p>
    <w:p w14:paraId="68448256" w14:textId="77777777" w:rsidR="00A1168C" w:rsidRDefault="00A1168C" w:rsidP="00A1168C">
      <w:pPr>
        <w:pStyle w:val="Titre2"/>
      </w:pPr>
      <w:r>
        <w:t xml:space="preserve">GLX Pharmaceutique inc. </w:t>
      </w:r>
    </w:p>
    <w:p w14:paraId="27490206" w14:textId="77777777" w:rsidR="00A1168C" w:rsidRDefault="00A1168C" w:rsidP="00A1168C">
      <w:pPr>
        <w:pStyle w:val="Titre3"/>
        <w:spacing w:before="0" w:after="0"/>
      </w:pPr>
      <w:r>
        <w:t>Aziz Rhnima</w:t>
      </w:r>
    </w:p>
    <w:p w14:paraId="36DF5F6C" w14:textId="77777777" w:rsidR="00A1168C" w:rsidRDefault="00A1168C" w:rsidP="00A1168C">
      <w:pPr>
        <w:pStyle w:val="Titre3"/>
        <w:spacing w:before="0" w:after="0"/>
      </w:pPr>
      <w:r>
        <w:t>Professeur</w:t>
      </w:r>
    </w:p>
    <w:p w14:paraId="325C7166" w14:textId="77777777" w:rsidR="00A1168C" w:rsidRDefault="00A1168C" w:rsidP="00A1168C">
      <w:pPr>
        <w:pStyle w:val="Titre3"/>
        <w:spacing w:before="0" w:after="0"/>
      </w:pPr>
      <w:r>
        <w:t>Faculté d’administration</w:t>
      </w:r>
    </w:p>
    <w:p w14:paraId="1F77349E" w14:textId="77777777" w:rsidR="00A1168C" w:rsidRDefault="00A1168C" w:rsidP="00A1168C">
      <w:pPr>
        <w:pStyle w:val="Titre3"/>
        <w:spacing w:before="0" w:after="0"/>
      </w:pPr>
      <w:r>
        <w:t xml:space="preserve">Université de Sherbrooke </w:t>
      </w:r>
    </w:p>
    <w:p w14:paraId="60F447C9" w14:textId="77777777" w:rsidR="00A1168C" w:rsidRDefault="00A1168C" w:rsidP="00A1168C">
      <w:pPr>
        <w:spacing w:before="240"/>
      </w:pPr>
      <w:r>
        <w:t>À la fin des années 2000, de nombreuses organisations ont entrepris de vastes restructurations et délocalisations, afin de s’adapter à l’évolution de leur environnement. Les principales entreprises pétrochimiques et pharmaceutiques européennes n’ont pas fait exception. En 2010, GLX Pharmaceutique inc., à l’instar d’ExxonMobil, de BASF et de Dow Chemical, a annoncé d’importants programmes de restructuration qui visaient une décentralisation plus poussée et une gestion stratégique de la performance.</w:t>
      </w:r>
    </w:p>
    <w:p w14:paraId="1672CFDA" w14:textId="77777777" w:rsidR="00A1168C" w:rsidRDefault="00A1168C" w:rsidP="00A1168C">
      <w:pPr>
        <w:spacing w:before="240"/>
      </w:pPr>
      <w:r>
        <w:t>GLX Pharmaceutique inc. devait relever des défis majeurs tant à l’échelle nationale qu’à l’échelle internationale, notamment en ce qui concerne l’expiration des brevets, la concurrence pour obtenir des ressources permettant de soutenir les produits existants et le marché très compétitif. Au sein de sa division pharmaceutique, un examen de son organisation a révélé une culture axée uniquement sur les tâches dans laquelle les employés se sentaient absorbés et, partant, déconnectés des enjeux et des défis auxquels l’entreprise faisait face. Les compétences (</w:t>
      </w:r>
      <w:r w:rsidRPr="006706F1">
        <w:rPr>
          <w:i/>
        </w:rPr>
        <w:t>a fortiori</w:t>
      </w:r>
      <w:r>
        <w:t xml:space="preserve"> transversales) en matière de gestion des ressources humaines étaient sous-estimées et sous-développées, et les décisions stratégiques étaient tout simplement absentes. </w:t>
      </w:r>
    </w:p>
    <w:p w14:paraId="4D9C8BE7" w14:textId="77777777" w:rsidR="00A1168C" w:rsidRDefault="00A1168C" w:rsidP="00A1168C">
      <w:pPr>
        <w:spacing w:before="240"/>
      </w:pPr>
      <w:r>
        <w:t xml:space="preserve">Afin de surmonter ces anomalies, on a mis en place une stratégie d’amélioration de la performance basée sur un nouveau système de gestion de la performance visant à améliorer la communication des objectifs de l’entreprise, à développer le potentiel des individus pour les aider à atteindre les objectifs convenus et à favoriser des relations plus étroites entre le personnel et les gestionnaires. À cette fin, on a utilisé une brochure intitulée </w:t>
      </w:r>
      <w:r w:rsidRPr="006706F1">
        <w:rPr>
          <w:i/>
        </w:rPr>
        <w:t>Vers une gestion stratégique du capital humain</w:t>
      </w:r>
      <w:r>
        <w:t xml:space="preserve"> pour communiquer les objectifs stratégiques de l’entreprise aux différentes composantes humaines de l’organisation.</w:t>
      </w:r>
    </w:p>
    <w:p w14:paraId="09AFEF1E" w14:textId="77777777" w:rsidR="00A1168C" w:rsidRDefault="00A1168C" w:rsidP="00A1168C">
      <w:pPr>
        <w:spacing w:before="240"/>
      </w:pPr>
      <w:r>
        <w:t xml:space="preserve">Les cadres supérieurs (le directeur de la production et le directeur des finances et de la comptabilité) ont été invités à travailler à leurs propres objectifs en les reliant aux objectifs stratégiques de l’entreprise. Ce processus a été transféré des directeurs aux chefs de service, puis les objectifs des services ont été fixés pour un maximum de deux ans. Ce faisant, les gens pouvaient voir comment eux-mêmes et leurs services contribuaient réellement au succès de l’organisation. On a ensuite adopté une initiative à l’échelle de toute l’entreprise, articulée autour du thème suivant : le développement du capital humain, des postes de travail et des récompenses. Cette initiative a fourni des principes directeurs couvrant l’organisation du travail, la communication, la formation, le développement des compétences et le plan de récompenses. </w:t>
      </w:r>
      <w:r>
        <w:lastRenderedPageBreak/>
        <w:t xml:space="preserve">On a mis en place un système unique d’évaluation de la performance pour tous les employés, associé à une structure simple. La description des tâches des gestionnaires incluait leurs responsabilités en matière de gestion des ressources humaines. </w:t>
      </w:r>
    </w:p>
    <w:p w14:paraId="3D750F57" w14:textId="77777777" w:rsidR="00A1168C" w:rsidRDefault="00A1168C" w:rsidP="00A1168C">
      <w:pPr>
        <w:spacing w:before="240"/>
      </w:pPr>
      <w:r>
        <w:t xml:space="preserve">Il est important de souligner que les gestionnaires ont été fortement impliqués dans l’élaboration et le pilotage du programme de gestion de la performance. L’équipe de pilotage était formée d’un groupe de cadres supérieurs expérimentés, et la tâche d’intégrer la gestion de la performance dans les objectifs de chaque service a été confiée aux gestionnaires. Aujourd’hui, chaque fonction et chaque service développent leur propre plan de récompenses, qui reflète les objectifs et les priorités de l’entreprise. La mise en œuvre est gérée localement dans le respect de contraintes budgétaires préalablement fixées. Les chefs de service reçoivent des directives pour mesurer les performances et doivent suivre le processus recommandé pour les évaluer. Ils ont à leur disposition un portefeuille d’options de récompenses, y compris des récompenses intrinsèques. </w:t>
      </w:r>
    </w:p>
    <w:p w14:paraId="4EDA5459" w14:textId="77777777" w:rsidR="00A1168C" w:rsidRDefault="00A1168C" w:rsidP="00A1168C">
      <w:pPr>
        <w:spacing w:after="240"/>
      </w:pPr>
      <w:r>
        <w:t>Le verdict d’un chef de service, auparavant sceptique quant à la gestion de la performance et à sa contribution au succès de l’organisation, fournit un commentaire révélateur sur cette initiative majeure : « Quand je me promène, je vois que les gens savent clairement ce qu’on attend d’eux, comment ils contribuent aux projets et pourquoi. Il y a moins de plaintes, le roulement de personnel a diminué, et les gens reconnaissent qu’il existe des occasions de développement pour tous. »</w:t>
      </w:r>
    </w:p>
    <w:p w14:paraId="28E2A8B5" w14:textId="77777777" w:rsidR="00A1168C" w:rsidRPr="006706F1" w:rsidRDefault="00A1168C" w:rsidP="00A1168C">
      <w:pPr>
        <w:pStyle w:val="Titre4"/>
      </w:pPr>
      <w:r w:rsidRPr="006706F1">
        <w:t>Questions</w:t>
      </w:r>
    </w:p>
    <w:p w14:paraId="1A6F0172" w14:textId="7F8FF9EE" w:rsidR="00A1168C" w:rsidRDefault="00A1168C" w:rsidP="009125B7">
      <w:pPr>
        <w:pStyle w:val="Paragraphedeliste"/>
        <w:numPr>
          <w:ilvl w:val="0"/>
          <w:numId w:val="41"/>
        </w:numPr>
      </w:pPr>
      <w:r>
        <w:t xml:space="preserve">Repérez un statut d’emploi clé dans le contexte d’affaires de GLX Pharmaceutique inc. </w:t>
      </w:r>
      <w:r>
        <w:tab/>
      </w:r>
    </w:p>
    <w:p w14:paraId="2F973627" w14:textId="2C0B50CD" w:rsidR="00A1168C" w:rsidRDefault="00A1168C" w:rsidP="009125B7">
      <w:pPr>
        <w:pStyle w:val="Paragraphedeliste"/>
        <w:numPr>
          <w:ilvl w:val="0"/>
          <w:numId w:val="41"/>
        </w:numPr>
      </w:pPr>
      <w:r>
        <w:t xml:space="preserve">Cernez un objectif organisationnel de poids dans le contexte d’affaires de cette entreprise. </w:t>
      </w:r>
      <w:r>
        <w:tab/>
      </w:r>
    </w:p>
    <w:p w14:paraId="5705316F" w14:textId="5767B923" w:rsidR="00A1168C" w:rsidRDefault="00A1168C" w:rsidP="009125B7">
      <w:pPr>
        <w:pStyle w:val="Paragraphedeliste"/>
        <w:numPr>
          <w:ilvl w:val="0"/>
          <w:numId w:val="41"/>
        </w:numPr>
      </w:pPr>
      <w:r>
        <w:t>Déterminez une stratégie d’affaires adéquate pour réaliser l’objectif organisationnel de cette entreprise.</w:t>
      </w:r>
    </w:p>
    <w:p w14:paraId="0934A885" w14:textId="1269AAC4" w:rsidR="009125B7" w:rsidRDefault="00A1168C" w:rsidP="009125B7">
      <w:pPr>
        <w:pStyle w:val="Paragraphedeliste"/>
        <w:numPr>
          <w:ilvl w:val="0"/>
          <w:numId w:val="41"/>
        </w:numPr>
      </w:pPr>
      <w:r>
        <w:t>Imaginez un système de GRH cohérent pour le statut d’emploi nommé à la question 1 en précisant de façon argumentée :</w:t>
      </w:r>
    </w:p>
    <w:p w14:paraId="7B59787E" w14:textId="06E9F97F" w:rsidR="009125B7" w:rsidRDefault="009125B7" w:rsidP="009125B7">
      <w:pPr>
        <w:pStyle w:val="Paragraphedeliste"/>
        <w:numPr>
          <w:ilvl w:val="0"/>
          <w:numId w:val="45"/>
        </w:numPr>
      </w:pPr>
      <w:proofErr w:type="gramStart"/>
      <w:r>
        <w:t>le</w:t>
      </w:r>
      <w:proofErr w:type="gramEnd"/>
      <w:r>
        <w:t xml:space="preserve"> positionnement stratégique des quatre objectifs RH qui doivent articuler le système RH inhérent au statut d’emploi concerné, et ce, en considérant le contexte d’affaires de l’entreprise ; </w:t>
      </w:r>
    </w:p>
    <w:p w14:paraId="327067C5" w14:textId="27EBB907" w:rsidR="009125B7" w:rsidRDefault="009125B7" w:rsidP="009125B7">
      <w:pPr>
        <w:pStyle w:val="Paragraphedeliste"/>
        <w:numPr>
          <w:ilvl w:val="0"/>
          <w:numId w:val="45"/>
        </w:numPr>
      </w:pPr>
      <w:proofErr w:type="gramStart"/>
      <w:r>
        <w:t>le</w:t>
      </w:r>
      <w:proofErr w:type="gramEnd"/>
      <w:r>
        <w:t xml:space="preserve"> choix d’une gestion des ressources humaines appropriée, en vous servant des enseignements de l’axe « capital humain » et de l’axe « flexibilité » ;</w:t>
      </w:r>
    </w:p>
    <w:p w14:paraId="4FFEC1B1" w14:textId="5E01C63C" w:rsidR="009125B7" w:rsidRDefault="009125B7" w:rsidP="009125B7">
      <w:pPr>
        <w:pStyle w:val="Paragraphedeliste"/>
        <w:numPr>
          <w:ilvl w:val="0"/>
          <w:numId w:val="45"/>
        </w:numPr>
      </w:pPr>
      <w:proofErr w:type="gramStart"/>
      <w:r>
        <w:t>le</w:t>
      </w:r>
      <w:proofErr w:type="gramEnd"/>
      <w:r>
        <w:t xml:space="preserve"> positionnement stratégique des sept pratiques de gestion des RH susceptibles de mettre en œuvre la stratégie de gestion des ressources humaines choisie. </w:t>
      </w:r>
      <w:r>
        <w:tab/>
      </w:r>
    </w:p>
    <w:p w14:paraId="42B046EB" w14:textId="0CFA44F6" w:rsidR="00A1168C" w:rsidRDefault="00A1168C" w:rsidP="009125B7">
      <w:pPr>
        <w:pStyle w:val="Paragraphedeliste"/>
        <w:numPr>
          <w:ilvl w:val="0"/>
          <w:numId w:val="41"/>
        </w:numPr>
      </w:pPr>
      <w:r>
        <w:t>Définissez, arguments à l’appui, le positionnement stratégique des quatre missions assignées à la direction de la gestion des ressources humaines de l’entreprise, compte tenu du contexte d’affaires de celle-ci.</w:t>
      </w:r>
    </w:p>
    <w:p w14:paraId="78344CC8" w14:textId="77777777" w:rsidR="00286546" w:rsidRDefault="00286546" w:rsidP="00286546"/>
    <w:p w14:paraId="0EE683C9" w14:textId="3BACD1B6" w:rsidR="00A1168C" w:rsidRDefault="00A1168C" w:rsidP="00286546">
      <w:pPr>
        <w:pStyle w:val="Titre2"/>
      </w:pPr>
      <w:r>
        <w:lastRenderedPageBreak/>
        <w:t>NOTES PÉDAGOGIQUES</w:t>
      </w:r>
    </w:p>
    <w:p w14:paraId="3C5A7F3A" w14:textId="77777777" w:rsidR="00A1168C" w:rsidRPr="006706F1" w:rsidRDefault="00A1168C" w:rsidP="00286546">
      <w:pPr>
        <w:pStyle w:val="Titre4"/>
      </w:pPr>
      <w:r w:rsidRPr="006706F1">
        <w:t xml:space="preserve">1. Repérez un </w:t>
      </w:r>
      <w:r w:rsidRPr="00286546">
        <w:t>statut</w:t>
      </w:r>
      <w:r w:rsidRPr="006706F1">
        <w:t xml:space="preserve"> d’emploi clé dans le contexte d’affaires de GLX Pharmaceutique inc. </w:t>
      </w:r>
      <w:r w:rsidRPr="006706F1">
        <w:tab/>
      </w:r>
    </w:p>
    <w:p w14:paraId="76CF994D" w14:textId="77777777" w:rsidR="00A1168C" w:rsidRDefault="00A1168C" w:rsidP="00286546">
      <w:r>
        <w:t xml:space="preserve">Conformément à la stratégie d’amélioration de la performance préconisée par GLX Pharmaceutique inc., on a utilisé une brochure intitulée </w:t>
      </w:r>
      <w:r w:rsidRPr="006706F1">
        <w:rPr>
          <w:i/>
        </w:rPr>
        <w:t xml:space="preserve">Vers une gestion stratégique du capital humain </w:t>
      </w:r>
      <w:r>
        <w:t xml:space="preserve">pour communiquer les objectifs stratégiques de l’entreprise à ses différentes composantes humaines. L’élaboration et le pilotage de cette stratégie ont été confiés à une équipe formée d’un groupe de cadres supérieurs expérimentés. Cependant, la tâche d’intégrer la gestion stratégique de la performance dans les objectifs de chaque service a été confiée aux gestionnaires, qui constituent donc ici un statut d’emploi clé. </w:t>
      </w:r>
    </w:p>
    <w:p w14:paraId="153918E2" w14:textId="77777777" w:rsidR="00A1168C" w:rsidRPr="006706F1" w:rsidRDefault="00A1168C" w:rsidP="00286546">
      <w:pPr>
        <w:pStyle w:val="Titre4"/>
      </w:pPr>
      <w:r w:rsidRPr="006706F1">
        <w:t xml:space="preserve">2. Cernez un objectif organisationnel de poids dans le contexte d’affaires de cette entreprise. </w:t>
      </w:r>
    </w:p>
    <w:p w14:paraId="4A7C5DF5" w14:textId="77777777" w:rsidR="00A1168C" w:rsidRDefault="00A1168C" w:rsidP="00286546">
      <w:r>
        <w:t>L’objectif principal visé par GLX Pharmaceutique inc. sur le plan international est d’assurer sa prédominance dans un marché très compétitif tout en relevant un défi interne, soit celui de changer la culture axée uniquement sur les tâches, dans laquelle les employés se sentaient absorbés et déconnectés des enjeux et des défis auxquels l’entreprise faisait face.</w:t>
      </w:r>
    </w:p>
    <w:p w14:paraId="202D6143" w14:textId="77777777" w:rsidR="00A1168C" w:rsidRPr="006706F1" w:rsidRDefault="00A1168C" w:rsidP="00286546">
      <w:pPr>
        <w:pStyle w:val="Titre4"/>
      </w:pPr>
      <w:r w:rsidRPr="006706F1">
        <w:t>3. Déterminez une stratégie d’affaires adéquate pour réaliser l’objectif organisationnel de cette entreprise.</w:t>
      </w:r>
    </w:p>
    <w:p w14:paraId="07F91857" w14:textId="77777777" w:rsidR="00A1168C" w:rsidRDefault="00A1168C" w:rsidP="00286546">
      <w:r>
        <w:t>En raison des défis externes et internes que doit relever GLX Pharmaceutique inc., on peut avancer que la stratégie préconisée par cette organisation est de type « accroissement des parts de marché », afin de sauvegarder sa prédominance dans le milieu des produits pharmaceutiques.</w:t>
      </w:r>
    </w:p>
    <w:p w14:paraId="7A2782A4" w14:textId="77777777" w:rsidR="00A1168C" w:rsidRPr="006706F1" w:rsidRDefault="00A1168C" w:rsidP="00286546">
      <w:pPr>
        <w:pStyle w:val="Titre4"/>
      </w:pPr>
      <w:r w:rsidRPr="006706F1">
        <w:t>4. Imaginez un système de GRH cohérent pour le statut d’emploi nommé à la question 1 en précisant de façon argumentée :</w:t>
      </w:r>
    </w:p>
    <w:p w14:paraId="58CBC0E4" w14:textId="77777777" w:rsidR="00A1168C" w:rsidRPr="006706F1" w:rsidRDefault="00A1168C" w:rsidP="00286546">
      <w:pPr>
        <w:pStyle w:val="Titre4"/>
      </w:pPr>
      <w:r w:rsidRPr="006706F1">
        <w:t>i.</w:t>
      </w:r>
      <w:r w:rsidRPr="006706F1">
        <w:tab/>
        <w:t xml:space="preserve">le positionnement stratégique des quatre objectifs RH qui doivent articuler le système RH inhérent au statut d’emploi concerné, et ce, en considérant le contexte d’affaires de l’entreprise ; </w:t>
      </w:r>
    </w:p>
    <w:p w14:paraId="1BB3D9A6" w14:textId="77777777" w:rsidR="00A1168C" w:rsidRPr="006706F1" w:rsidRDefault="00A1168C" w:rsidP="00286546">
      <w:pPr>
        <w:pStyle w:val="Titre4"/>
      </w:pPr>
      <w:r w:rsidRPr="006706F1">
        <w:t>ii.</w:t>
      </w:r>
      <w:r w:rsidRPr="006706F1">
        <w:tab/>
        <w:t>le choix d’une gestion des ressources humaines appropriée, en vous servant des enseignements de l’axe « capital humain » et de l’axe « flexibilité » ;</w:t>
      </w:r>
    </w:p>
    <w:p w14:paraId="5DB18195" w14:textId="77777777" w:rsidR="00A1168C" w:rsidRPr="006706F1" w:rsidRDefault="00A1168C" w:rsidP="00286546">
      <w:pPr>
        <w:pStyle w:val="Titre4"/>
      </w:pPr>
      <w:r w:rsidRPr="006706F1">
        <w:t>iii.</w:t>
      </w:r>
      <w:r w:rsidRPr="006706F1">
        <w:tab/>
        <w:t xml:space="preserve">le positionnement stratégique des sept pratiques de gestion des RH susceptibles de mettre en œuvre la stratégie de gestion des ressources humaines choisie. </w:t>
      </w:r>
      <w:r w:rsidRPr="006706F1">
        <w:tab/>
      </w:r>
    </w:p>
    <w:p w14:paraId="7DC50785" w14:textId="77777777" w:rsidR="00A1168C" w:rsidRDefault="00A1168C" w:rsidP="00A1168C">
      <w:r>
        <w:t xml:space="preserve">Configuration du système RH pour le statut d’emploi « gestionnaire » : </w:t>
      </w:r>
    </w:p>
    <w:p w14:paraId="0ABE63B8" w14:textId="77777777" w:rsidR="00A1168C" w:rsidRDefault="00A1168C" w:rsidP="00286546">
      <w:r>
        <w:t xml:space="preserve">i. Pour le statut d’emploi clé dans ce contexte d’affaires, à savoir celui de gestionnaire, il serait judicieux d’imaginer un système RH orienté préalablement vers un objectif précis : intégrer la gestion de la performance de chaque individu ou de chaque équipe d’individus dans les objectifs </w:t>
      </w:r>
      <w:r>
        <w:lastRenderedPageBreak/>
        <w:t>du service concerné et dans les objectifs stratégiques de l’organisation. La gestion des compétences des gestionnaires, particulièrement celle qui consiste à savoir intégrer de nouveaux critères et instruments de performance stratégique auprès de toutes les composantes humaines de l’organisation, cristallise le premier objectif RH. Ainsi, on désire dorénavant que les employés soient performants sur le plan stratégique. Le changement de vision de GLX Pharmaceutique Inc. par rapport à ses gestionnaires se concentre donc sur la gestion stratégique de la performance des ressources humaines. C’est d’autant plus crucial que ce statut d’emploi représente une interface importante entre l’entreprise et ses ressources humaines. Deuxièmement, on mettra l’accent sur l’engagement des gestionnaires envers les nouveaux défis de l’organisation concernant leur mission, afin de renforcer au besoin les transferts des compétences qu’ils vont déployer auprès des ressources humaines. Le troisième objectif RH consiste en l’intensification de la performance des gestionnaires afin qu’ils redoublent d’efforts dans la formation des ressources humaines, permettant ainsi à l’organisation d’avoir un maximum de ressources dont la performance est bien alignée sur ses objectifs stratégiques. Enfin, pour accompagner l’évolution des affaires de l’organisation, la gestion des effectifs sera étalée en dernière instance au fur et à mesure que les différents mouvements de personnel (recrutement, mutations, mises à la retraite) seront sollicités par cette évolution.</w:t>
      </w:r>
    </w:p>
    <w:p w14:paraId="45043A9F" w14:textId="77777777" w:rsidR="00A1168C" w:rsidRDefault="00A1168C" w:rsidP="00286546">
      <w:r>
        <w:t>ii. En appliquant les enseignements des axes « capital humain » et « flexibilité », GLX Pharmaceutique Inc. mise sur la capacité des gestionnaires à transmettre des critères et des instruments de performance d’ordre stratégique aux ressources humaines de l’organisation. Ce faisant, celle-ci investit à long terme dans les compétences des gestionnaires, afin de garantir leur loyauté et leur performance. C’est d’autant plus important que les compétences des gestionnaires sont complexes et difficiles à contrôler au fil du processus de performance. À l’analyse des données des deux axes susmentionnés, on constate que la stratégie « mobilisation » paraît appuyer ces conclusions.</w:t>
      </w:r>
    </w:p>
    <w:p w14:paraId="4E49C91E" w14:textId="77777777" w:rsidR="00A1168C" w:rsidRDefault="00A1168C" w:rsidP="00286546">
      <w:r>
        <w:t>iii. À la lumière du positionnement stratégique des objectifs RH choisis et en conformité avec la stratégie RH préconisée, il serait plus approprié de mettre d’abord l’accent sur le développement des compétences. À cette fin, l’investissement dans la formation et la carrière des gestionnaires, en vue de bien les outiller pour encadrer les ressources humaines, est crucial. Par la suite, on insistera sur la rémunération et les avantages sociaux, ce qui renforcera l’engagement des gestionnaires et les incitera à atteindre les objectifs de leur mission. En troisième lieu, on doit élaborer un système d’évaluation de rendement stimulant la performance des gestionnaires en ce qui a trait à leur encadrement des ressources humaines. Enfin, les pratiques inhérentes à la dotation seront déployées au besoin, selon les caractéristiques du contexte d’affaires de l’organisation. Ces pratiques sont les suivantes : 1) l’analyse et la description des postes ainsi que la définition de leurs spécificités si les tâches des gestionnaires changent ; 2) la gestion prévisionnelle de l’offre et de la demande RH quand il faut augmenter ou réduire les effectifs et les compétences RH ; 3) le recrutement et la sélection lorsqu’il s’agit de relever les défis posés par les différentes formes de déséquilibre en ce qui concerne les disponibilités et les besoins RH de l’organisation.</w:t>
      </w:r>
    </w:p>
    <w:p w14:paraId="7FB55830" w14:textId="77777777" w:rsidR="00A1168C" w:rsidRPr="006706F1" w:rsidRDefault="00A1168C" w:rsidP="00EC02D6">
      <w:pPr>
        <w:pStyle w:val="Titre4"/>
      </w:pPr>
      <w:r w:rsidRPr="006706F1">
        <w:lastRenderedPageBreak/>
        <w:t>5. Définissez, arguments à l’appui, le positionnement stratégique des quatre missions assignées à la direction de la gestion des ressources humaines de l’entreprise, compte tenu du contexte d’affaires de celle-ci.</w:t>
      </w:r>
    </w:p>
    <w:p w14:paraId="6B0536E6" w14:textId="77777777" w:rsidR="00A1168C" w:rsidRDefault="00A1168C" w:rsidP="00EC02D6">
      <w:r>
        <w:t>Étant donné le défi lancé à la direction générale dans le contexte de ses nouvelles préoccupations, des enjeux qui en découlent et des objectifs à atteindre, le rôle d’expert administratif sera primordial : valider la cohérence systémique et l’alignement stratégique des systèmes RH des gestionnaires afin de s’assurer qu’ils pourront atteindre le but associé à leur mission, qui est d’encadrer la performance de toutes les ressources humaines de l’organisation dans un sens stratégique. Une fois validée la configuration stratégique de ces systèmes, le rôle de défenseur des employés sera d’une grande importance, afin de mobiliser les gestionnaires dans le sens de la mission qui leur a été assignée par la direction générale (celle d’être efficaces dans leur encadrement quotidien de toutes les ressources humaines relevant de leur autorité). Par ailleurs, d’aucuns savent aujourd’hui que les organisations doivent composer avec des changements fréquents. En fait, des forces économiques, politiques, technologiques ou sociales sollicitent régulièrement les organisations en ce qui a trait à la qualité, à la pertinence et à l’efficience des produits et des services prodigués aux consommateurs. Ainsi, GLX Pharmaceutique Inc. sera forcée, comme toute organisation, de dénicher de nouvelles stratégies, voire de se restructurer. Pour ce faire, elle devra mettre en œuvre des chantiers toujours plus sophistiqués afin de choisir les avantages les plus compétitifs vis-à-vis de sa concurrence. Ce scénario inévitable commandera de mettre en veille permanente le rôle de partenaire stratégique que doit éventuellement jouer la direction des ressources humaines. Enfin, comme tout changement d’orientation stratégique ou toute forme de restructuration (fusion, acquisition, aplatissement des structures) provoque de la résistance de la part des ressources humaines, le rôle d’agent de contrôle et de changement devra être déployé</w:t>
      </w:r>
      <w:r w:rsidRPr="003619EE">
        <w:t xml:space="preserve"> </w:t>
      </w:r>
      <w:r>
        <w:t>de manière efficace afin de réussir l’implantation des nouvelles politiques stratégiques de l’organisation.</w:t>
      </w:r>
    </w:p>
    <w:p w14:paraId="453EA283" w14:textId="77777777" w:rsidR="00174253" w:rsidRPr="00A1168C" w:rsidRDefault="00174253" w:rsidP="00A1168C"/>
    <w:sectPr w:rsidR="00174253" w:rsidRPr="00A1168C"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76730" w14:textId="77777777" w:rsidR="00B301C8" w:rsidRDefault="00B301C8" w:rsidP="00D14FC7">
      <w:r>
        <w:separator/>
      </w:r>
    </w:p>
  </w:endnote>
  <w:endnote w:type="continuationSeparator" w:id="0">
    <w:p w14:paraId="1EBFBC05" w14:textId="77777777" w:rsidR="00B301C8" w:rsidRDefault="00B301C8"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E71E2" w14:textId="77777777" w:rsidR="00B301C8" w:rsidRDefault="00B301C8" w:rsidP="00D14FC7">
      <w:r>
        <w:separator/>
      </w:r>
    </w:p>
  </w:footnote>
  <w:footnote w:type="continuationSeparator" w:id="0">
    <w:p w14:paraId="5EB8964B" w14:textId="77777777" w:rsidR="00B301C8" w:rsidRDefault="00B301C8"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5712C"/>
    <w:multiLevelType w:val="hybridMultilevel"/>
    <w:tmpl w:val="C7083A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A86D1A"/>
    <w:multiLevelType w:val="hybridMultilevel"/>
    <w:tmpl w:val="DC24123E"/>
    <w:lvl w:ilvl="0" w:tplc="0C0C000F">
      <w:start w:val="1"/>
      <w:numFmt w:val="decimal"/>
      <w:lvlText w:val="%1."/>
      <w:lvlJc w:val="left"/>
      <w:pPr>
        <w:ind w:left="360" w:hanging="360"/>
      </w:pPr>
      <w:rPr>
        <w:rFonts w:hint="default"/>
      </w:rPr>
    </w:lvl>
    <w:lvl w:ilvl="1" w:tplc="4A8A22F6">
      <w:start w:val="1"/>
      <w:numFmt w:val="bullet"/>
      <w:lvlText w:val="•"/>
      <w:lvlJc w:val="left"/>
      <w:pPr>
        <w:ind w:left="1080" w:hanging="360"/>
      </w:pPr>
      <w:rPr>
        <w:rFonts w:ascii="Arial" w:eastAsiaTheme="minorHAnsi" w:hAnsi="Arial" w:cs="Aria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04747BBC"/>
    <w:multiLevelType w:val="hybridMultilevel"/>
    <w:tmpl w:val="613479DE"/>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5496992"/>
    <w:multiLevelType w:val="hybridMultilevel"/>
    <w:tmpl w:val="8D2C4F14"/>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1C79D6"/>
    <w:multiLevelType w:val="hybridMultilevel"/>
    <w:tmpl w:val="8E1A2460"/>
    <w:lvl w:ilvl="0" w:tplc="71C2A4DE">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98034D5"/>
    <w:multiLevelType w:val="hybridMultilevel"/>
    <w:tmpl w:val="3ED854F6"/>
    <w:lvl w:ilvl="0" w:tplc="E63411A0">
      <w:start w:val="1"/>
      <w:numFmt w:val="decimal"/>
      <w:lvlText w:val="%1."/>
      <w:lvlJc w:val="left"/>
      <w:pPr>
        <w:ind w:left="357" w:hanging="357"/>
      </w:pPr>
      <w:rPr>
        <w:rFonts w:hint="default"/>
        <w:i w:val="0"/>
        <w:color w:val="auto"/>
      </w:rPr>
    </w:lvl>
    <w:lvl w:ilvl="1" w:tplc="DA86E2D2">
      <w:start w:val="1"/>
      <w:numFmt w:val="lowerLetter"/>
      <w:lvlText w:val="%2)"/>
      <w:lvlJc w:val="left"/>
      <w:pPr>
        <w:ind w:left="720" w:hanging="363"/>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286EE4"/>
    <w:multiLevelType w:val="hybridMultilevel"/>
    <w:tmpl w:val="16A4DB1C"/>
    <w:lvl w:ilvl="0" w:tplc="E63411A0">
      <w:start w:val="1"/>
      <w:numFmt w:val="decimal"/>
      <w:lvlText w:val="%1."/>
      <w:lvlJc w:val="left"/>
      <w:pPr>
        <w:ind w:left="357" w:hanging="357"/>
      </w:pPr>
      <w:rPr>
        <w:rFonts w:hint="default"/>
        <w:i w:val="0"/>
        <w:color w:val="auto"/>
      </w:rPr>
    </w:lvl>
    <w:lvl w:ilvl="1" w:tplc="DA86E2D2">
      <w:start w:val="1"/>
      <w:numFmt w:val="lowerLetter"/>
      <w:lvlText w:val="%2)"/>
      <w:lvlJc w:val="left"/>
      <w:pPr>
        <w:ind w:left="720" w:hanging="363"/>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EA01F6"/>
    <w:multiLevelType w:val="hybridMultilevel"/>
    <w:tmpl w:val="F160897A"/>
    <w:lvl w:ilvl="0" w:tplc="4CAAA8CA">
      <w:start w:val="1"/>
      <w:numFmt w:val="lowerLetter"/>
      <w:lvlText w:val="%1)"/>
      <w:lvlJc w:val="left"/>
      <w:pPr>
        <w:ind w:left="720" w:hanging="360"/>
      </w:pPr>
      <w:rPr>
        <w:rFonts w:ascii="Calibri" w:hAnsi="Calibri"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2A7CEA"/>
    <w:multiLevelType w:val="multilevel"/>
    <w:tmpl w:val="73C27218"/>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C65E41"/>
    <w:multiLevelType w:val="hybridMultilevel"/>
    <w:tmpl w:val="7A72D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6411AC"/>
    <w:multiLevelType w:val="multilevel"/>
    <w:tmpl w:val="D2C672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79648A"/>
    <w:multiLevelType w:val="hybridMultilevel"/>
    <w:tmpl w:val="8BB6544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268162B0"/>
    <w:multiLevelType w:val="hybridMultilevel"/>
    <w:tmpl w:val="8E2252EA"/>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9F33C5"/>
    <w:multiLevelType w:val="hybridMultilevel"/>
    <w:tmpl w:val="9AF2B498"/>
    <w:lvl w:ilvl="0" w:tplc="C08654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C43965"/>
    <w:multiLevelType w:val="hybridMultilevel"/>
    <w:tmpl w:val="7FD47CC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56D49FF"/>
    <w:multiLevelType w:val="hybridMultilevel"/>
    <w:tmpl w:val="55B8CBF0"/>
    <w:lvl w:ilvl="0" w:tplc="F2322ADA">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662140C"/>
    <w:multiLevelType w:val="hybridMultilevel"/>
    <w:tmpl w:val="7B40A954"/>
    <w:lvl w:ilvl="0" w:tplc="D144A45C">
      <w:start w:val="1"/>
      <w:numFmt w:val="decimal"/>
      <w:lvlText w:val="%1."/>
      <w:lvlJc w:val="left"/>
      <w:pPr>
        <w:ind w:left="720" w:hanging="360"/>
      </w:pPr>
      <w:rPr>
        <w:rFonts w:eastAsiaTheme="minorHAnsi" w:cs="Times New Roman"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7C7B6F"/>
    <w:multiLevelType w:val="hybridMultilevel"/>
    <w:tmpl w:val="3D10E7C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36FF0C0D"/>
    <w:multiLevelType w:val="hybridMultilevel"/>
    <w:tmpl w:val="15441F64"/>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A4F2015"/>
    <w:multiLevelType w:val="hybridMultilevel"/>
    <w:tmpl w:val="1092FF1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CD156F"/>
    <w:multiLevelType w:val="hybridMultilevel"/>
    <w:tmpl w:val="5238B9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0BA7232"/>
    <w:multiLevelType w:val="hybridMultilevel"/>
    <w:tmpl w:val="CB46BFAA"/>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41523F4"/>
    <w:multiLevelType w:val="hybridMultilevel"/>
    <w:tmpl w:val="2812C158"/>
    <w:lvl w:ilvl="0" w:tplc="85B848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522D8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246418"/>
    <w:multiLevelType w:val="hybridMultilevel"/>
    <w:tmpl w:val="82E89C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9F3EED"/>
    <w:multiLevelType w:val="hybridMultilevel"/>
    <w:tmpl w:val="F9F2844E"/>
    <w:lvl w:ilvl="0" w:tplc="D144A45C">
      <w:start w:val="1"/>
      <w:numFmt w:val="decimal"/>
      <w:lvlText w:val="%1."/>
      <w:lvlJc w:val="left"/>
      <w:pPr>
        <w:ind w:left="720" w:hanging="360"/>
      </w:pPr>
      <w:rPr>
        <w:rFonts w:eastAsiaTheme="minorHAnsi" w:cs="Times New Roman"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DD51DA"/>
    <w:multiLevelType w:val="hybridMultilevel"/>
    <w:tmpl w:val="F860299A"/>
    <w:lvl w:ilvl="0" w:tplc="4CCED058">
      <w:start w:val="1"/>
      <w:numFmt w:val="decimal"/>
      <w:lvlText w:val="%1."/>
      <w:lvlJc w:val="left"/>
      <w:pPr>
        <w:ind w:left="357" w:hanging="35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A41C53"/>
    <w:multiLevelType w:val="hybridMultilevel"/>
    <w:tmpl w:val="B19EA92C"/>
    <w:lvl w:ilvl="0" w:tplc="F2322ADA">
      <w:start w:val="1"/>
      <w:numFmt w:val="low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0" w15:restartNumberingAfterBreak="0">
    <w:nsid w:val="59600ACB"/>
    <w:multiLevelType w:val="hybridMultilevel"/>
    <w:tmpl w:val="1550F7E4"/>
    <w:lvl w:ilvl="0" w:tplc="4EFA1DFE">
      <w:start w:val="1"/>
      <w:numFmt w:val="decimal"/>
      <w:lvlText w:val="%1."/>
      <w:lvlJc w:val="left"/>
      <w:pPr>
        <w:ind w:left="357" w:hanging="35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696B80"/>
    <w:multiLevelType w:val="hybridMultilevel"/>
    <w:tmpl w:val="CFFC852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59FC6889"/>
    <w:multiLevelType w:val="hybridMultilevel"/>
    <w:tmpl w:val="387C627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BDA093F"/>
    <w:multiLevelType w:val="multilevel"/>
    <w:tmpl w:val="F920D42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187DB8"/>
    <w:multiLevelType w:val="hybridMultilevel"/>
    <w:tmpl w:val="B6008ADC"/>
    <w:lvl w:ilvl="0" w:tplc="C08654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6580507"/>
    <w:multiLevelType w:val="hybridMultilevel"/>
    <w:tmpl w:val="D2C672A8"/>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3453B9"/>
    <w:multiLevelType w:val="hybridMultilevel"/>
    <w:tmpl w:val="66F4186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6A2A2ABD"/>
    <w:multiLevelType w:val="hybridMultilevel"/>
    <w:tmpl w:val="A592724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AA4F21"/>
    <w:multiLevelType w:val="hybridMultilevel"/>
    <w:tmpl w:val="4600CD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0FF32C8"/>
    <w:multiLevelType w:val="hybridMultilevel"/>
    <w:tmpl w:val="2004B268"/>
    <w:lvl w:ilvl="0" w:tplc="3FD8C74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34F7514"/>
    <w:multiLevelType w:val="hybridMultilevel"/>
    <w:tmpl w:val="748EE6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CF7DB3"/>
    <w:multiLevelType w:val="hybridMultilevel"/>
    <w:tmpl w:val="29C8699A"/>
    <w:lvl w:ilvl="0" w:tplc="85B848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BDE452B"/>
    <w:multiLevelType w:val="multilevel"/>
    <w:tmpl w:val="382EA4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D257CF"/>
    <w:multiLevelType w:val="hybridMultilevel"/>
    <w:tmpl w:val="CECACF32"/>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43756B"/>
    <w:multiLevelType w:val="hybridMultilevel"/>
    <w:tmpl w:val="C3CCE4DE"/>
    <w:lvl w:ilvl="0" w:tplc="BD620E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40"/>
  </w:num>
  <w:num w:numId="3">
    <w:abstractNumId w:val="21"/>
  </w:num>
  <w:num w:numId="4">
    <w:abstractNumId w:val="37"/>
  </w:num>
  <w:num w:numId="5">
    <w:abstractNumId w:val="14"/>
  </w:num>
  <w:num w:numId="6">
    <w:abstractNumId w:val="35"/>
  </w:num>
  <w:num w:numId="7">
    <w:abstractNumId w:val="0"/>
  </w:num>
  <w:num w:numId="8">
    <w:abstractNumId w:val="5"/>
  </w:num>
  <w:num w:numId="9">
    <w:abstractNumId w:val="12"/>
  </w:num>
  <w:num w:numId="10">
    <w:abstractNumId w:val="43"/>
  </w:num>
  <w:num w:numId="11">
    <w:abstractNumId w:val="11"/>
  </w:num>
  <w:num w:numId="12">
    <w:abstractNumId w:val="8"/>
  </w:num>
  <w:num w:numId="13">
    <w:abstractNumId w:val="9"/>
  </w:num>
  <w:num w:numId="14">
    <w:abstractNumId w:val="44"/>
  </w:num>
  <w:num w:numId="15">
    <w:abstractNumId w:val="26"/>
  </w:num>
  <w:num w:numId="16">
    <w:abstractNumId w:val="7"/>
  </w:num>
  <w:num w:numId="17">
    <w:abstractNumId w:val="24"/>
  </w:num>
  <w:num w:numId="18">
    <w:abstractNumId w:val="2"/>
  </w:num>
  <w:num w:numId="19">
    <w:abstractNumId w:val="30"/>
  </w:num>
  <w:num w:numId="20">
    <w:abstractNumId w:val="42"/>
  </w:num>
  <w:num w:numId="21">
    <w:abstractNumId w:val="28"/>
  </w:num>
  <w:num w:numId="22">
    <w:abstractNumId w:val="41"/>
  </w:num>
  <w:num w:numId="23">
    <w:abstractNumId w:val="27"/>
  </w:num>
  <w:num w:numId="24">
    <w:abstractNumId w:val="18"/>
  </w:num>
  <w:num w:numId="25">
    <w:abstractNumId w:val="15"/>
  </w:num>
  <w:num w:numId="26">
    <w:abstractNumId w:val="33"/>
  </w:num>
  <w:num w:numId="27">
    <w:abstractNumId w:val="1"/>
  </w:num>
  <w:num w:numId="28">
    <w:abstractNumId w:val="34"/>
  </w:num>
  <w:num w:numId="29">
    <w:abstractNumId w:val="10"/>
  </w:num>
  <w:num w:numId="30">
    <w:abstractNumId w:val="39"/>
  </w:num>
  <w:num w:numId="31">
    <w:abstractNumId w:val="32"/>
  </w:num>
  <w:num w:numId="32">
    <w:abstractNumId w:val="16"/>
  </w:num>
  <w:num w:numId="33">
    <w:abstractNumId w:val="4"/>
  </w:num>
  <w:num w:numId="34">
    <w:abstractNumId w:val="23"/>
  </w:num>
  <w:num w:numId="35">
    <w:abstractNumId w:val="20"/>
  </w:num>
  <w:num w:numId="36">
    <w:abstractNumId w:val="3"/>
  </w:num>
  <w:num w:numId="37">
    <w:abstractNumId w:val="31"/>
  </w:num>
  <w:num w:numId="38">
    <w:abstractNumId w:val="36"/>
  </w:num>
  <w:num w:numId="39">
    <w:abstractNumId w:val="13"/>
  </w:num>
  <w:num w:numId="40">
    <w:abstractNumId w:val="19"/>
  </w:num>
  <w:num w:numId="41">
    <w:abstractNumId w:val="38"/>
  </w:num>
  <w:num w:numId="42">
    <w:abstractNumId w:val="25"/>
  </w:num>
  <w:num w:numId="43">
    <w:abstractNumId w:val="6"/>
  </w:num>
  <w:num w:numId="44">
    <w:abstractNumId w:val="17"/>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21779E"/>
    <w:rsid w:val="00224F16"/>
    <w:rsid w:val="00225221"/>
    <w:rsid w:val="0023625D"/>
    <w:rsid w:val="00241F9B"/>
    <w:rsid w:val="002617B4"/>
    <w:rsid w:val="002654F7"/>
    <w:rsid w:val="00275CB8"/>
    <w:rsid w:val="00276B8A"/>
    <w:rsid w:val="00281F62"/>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7121E"/>
    <w:rsid w:val="004741A6"/>
    <w:rsid w:val="00476779"/>
    <w:rsid w:val="004833AD"/>
    <w:rsid w:val="004A0850"/>
    <w:rsid w:val="004A34A6"/>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6B48"/>
    <w:rsid w:val="008E0B91"/>
    <w:rsid w:val="0090546A"/>
    <w:rsid w:val="009125B7"/>
    <w:rsid w:val="009143FE"/>
    <w:rsid w:val="00920219"/>
    <w:rsid w:val="009231C0"/>
    <w:rsid w:val="00990800"/>
    <w:rsid w:val="00991994"/>
    <w:rsid w:val="009A5EF6"/>
    <w:rsid w:val="009B04D2"/>
    <w:rsid w:val="009C34F9"/>
    <w:rsid w:val="009D1A3A"/>
    <w:rsid w:val="009D5A5B"/>
    <w:rsid w:val="009D5D53"/>
    <w:rsid w:val="009E0BF2"/>
    <w:rsid w:val="009F524A"/>
    <w:rsid w:val="009F6E0E"/>
    <w:rsid w:val="00A00A07"/>
    <w:rsid w:val="00A106BE"/>
    <w:rsid w:val="00A1168C"/>
    <w:rsid w:val="00A227FD"/>
    <w:rsid w:val="00A22DCE"/>
    <w:rsid w:val="00A34074"/>
    <w:rsid w:val="00A556A5"/>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301C8"/>
    <w:rsid w:val="00B53A1F"/>
    <w:rsid w:val="00B750E5"/>
    <w:rsid w:val="00B854E7"/>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F2700"/>
    <w:rsid w:val="00E00780"/>
    <w:rsid w:val="00E03553"/>
    <w:rsid w:val="00E07D6F"/>
    <w:rsid w:val="00E11D92"/>
    <w:rsid w:val="00E167E7"/>
    <w:rsid w:val="00E23F40"/>
    <w:rsid w:val="00E267B1"/>
    <w:rsid w:val="00E26AA4"/>
    <w:rsid w:val="00E27BC9"/>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7"/>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FBA7-6890-4228-A46F-83FBEC4D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2150</Words>
  <Characters>11826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13949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5</cp:revision>
  <cp:lastPrinted>2019-03-13T15:05:00Z</cp:lastPrinted>
  <dcterms:created xsi:type="dcterms:W3CDTF">2020-12-03T16:39:00Z</dcterms:created>
  <dcterms:modified xsi:type="dcterms:W3CDTF">2020-12-03T19:23:00Z</dcterms:modified>
  <cp:category/>
</cp:coreProperties>
</file>