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C0CFE" w14:textId="1B1A4CBA" w:rsidR="00A723B7" w:rsidRPr="00A723B7" w:rsidRDefault="00A723B7" w:rsidP="00A723B7">
      <w:pPr>
        <w:pStyle w:val="Titre1"/>
      </w:pPr>
      <w:r w:rsidRPr="002556B9">
        <w:t xml:space="preserve">CHAPITRE </w:t>
      </w:r>
      <w:r>
        <w:t>7</w:t>
      </w:r>
      <w:r w:rsidR="0007156A">
        <w:t xml:space="preserve"> – Étude de cas</w:t>
      </w:r>
    </w:p>
    <w:p w14:paraId="218FBD2C" w14:textId="77777777" w:rsidR="009D0E38" w:rsidRPr="0076489C" w:rsidRDefault="009D0E38" w:rsidP="008271C0">
      <w:pPr>
        <w:pStyle w:val="Titre1"/>
      </w:pPr>
      <w:r w:rsidRPr="0076489C">
        <w:rPr>
          <w:bdr w:val="none" w:sz="0" w:space="0" w:color="auto" w:frame="1"/>
        </w:rPr>
        <w:t>Des processus d’évaluation et de gestion du rendement qui</w:t>
      </w:r>
      <w:r>
        <w:rPr>
          <w:bdr w:val="none" w:sz="0" w:space="0" w:color="auto" w:frame="1"/>
        </w:rPr>
        <w:t xml:space="preserve"> mécontentent</w:t>
      </w:r>
      <w:r w:rsidRPr="0076489C">
        <w:rPr>
          <w:bdr w:val="none" w:sz="0" w:space="0" w:color="auto" w:frame="1"/>
        </w:rPr>
        <w:t xml:space="preserve"> </w:t>
      </w:r>
      <w:r>
        <w:rPr>
          <w:bdr w:val="none" w:sz="0" w:space="0" w:color="auto" w:frame="1"/>
        </w:rPr>
        <w:t>l</w:t>
      </w:r>
      <w:r w:rsidRPr="0076489C">
        <w:rPr>
          <w:bdr w:val="none" w:sz="0" w:space="0" w:color="auto" w:frame="1"/>
        </w:rPr>
        <w:t>es superviseurs</w:t>
      </w:r>
      <w:r>
        <w:rPr>
          <w:bdr w:val="none" w:sz="0" w:space="0" w:color="auto" w:frame="1"/>
        </w:rPr>
        <w:t xml:space="preserve"> autant que les</w:t>
      </w:r>
      <w:r w:rsidRPr="0076489C">
        <w:rPr>
          <w:bdr w:val="none" w:sz="0" w:space="0" w:color="auto" w:frame="1"/>
        </w:rPr>
        <w:t xml:space="preserve"> employés ! </w:t>
      </w:r>
    </w:p>
    <w:p w14:paraId="0BCC293A" w14:textId="77777777" w:rsidR="00A723B7" w:rsidRDefault="00A723B7" w:rsidP="00A723B7">
      <w:pPr>
        <w:pStyle w:val="Titre3"/>
        <w:spacing w:before="0" w:after="0"/>
      </w:pPr>
      <w:r>
        <w:t>Denis Morin</w:t>
      </w:r>
    </w:p>
    <w:p w14:paraId="32563E15" w14:textId="77777777" w:rsidR="00A723B7" w:rsidRDefault="00A723B7" w:rsidP="00A723B7">
      <w:pPr>
        <w:pStyle w:val="Titre3"/>
        <w:spacing w:before="0" w:after="0"/>
      </w:pPr>
      <w:r>
        <w:t>Professeur titulaire en gestion des ressources humaines</w:t>
      </w:r>
    </w:p>
    <w:p w14:paraId="31988552" w14:textId="77777777" w:rsidR="00A723B7" w:rsidRDefault="00A723B7" w:rsidP="00A723B7">
      <w:pPr>
        <w:pStyle w:val="Titre3"/>
        <w:spacing w:before="0" w:after="0"/>
      </w:pPr>
      <w:r>
        <w:t>École des sciences de la gestion</w:t>
      </w:r>
    </w:p>
    <w:p w14:paraId="711A1C4F" w14:textId="0E864B2A" w:rsidR="00A723B7" w:rsidRPr="001D7216" w:rsidRDefault="00A723B7" w:rsidP="00A723B7">
      <w:pPr>
        <w:pStyle w:val="Titre3"/>
        <w:spacing w:before="0" w:after="0"/>
      </w:pPr>
      <w:r>
        <w:t>Université du Québec à Montréal</w:t>
      </w:r>
    </w:p>
    <w:p w14:paraId="347BFB1A" w14:textId="77777777" w:rsidR="007C1FD1" w:rsidRPr="0076489C" w:rsidRDefault="007C1FD1" w:rsidP="007C1FD1">
      <w:pPr>
        <w:spacing w:before="240"/>
      </w:pPr>
      <w:r w:rsidRPr="0076489C">
        <w:rPr>
          <w:bdr w:val="none" w:sz="0" w:space="0" w:color="auto" w:frame="1"/>
        </w:rPr>
        <w:t xml:space="preserve">En 1967, une petite entreprise familiale, </w:t>
      </w:r>
      <w:r>
        <w:rPr>
          <w:bdr w:val="none" w:sz="0" w:space="0" w:color="auto" w:frame="1"/>
        </w:rPr>
        <w:t>Gagnon</w:t>
      </w:r>
      <w:r w:rsidRPr="0076489C">
        <w:rPr>
          <w:bdr w:val="none" w:sz="0" w:space="0" w:color="auto" w:frame="1"/>
        </w:rPr>
        <w:t xml:space="preserve"> Éditeur, fut créée avec comme mission de publier des ouvrages didactiques spécifiquement conçus pour les premiers collèges d'enseignement général et professionnel (CÉGEP).  Bien des années plus tard, cette maison d’édition est acquise par le géant de l’édition scolaire </w:t>
      </w:r>
      <w:proofErr w:type="spellStart"/>
      <w:r w:rsidRPr="0076489C">
        <w:rPr>
          <w:bdr w:val="none" w:sz="0" w:space="0" w:color="auto" w:frame="1"/>
        </w:rPr>
        <w:t>Scholastic</w:t>
      </w:r>
      <w:proofErr w:type="spellEnd"/>
      <w:r w:rsidRPr="0076489C">
        <w:rPr>
          <w:bdr w:val="none" w:sz="0" w:space="0" w:color="auto" w:frame="1"/>
        </w:rPr>
        <w:t>, qui poursuit son expansion. C’est ainsi que l</w:t>
      </w:r>
      <w:r>
        <w:rPr>
          <w:bdr w:val="none" w:sz="0" w:space="0" w:color="auto" w:frame="1"/>
        </w:rPr>
        <w:t>a</w:t>
      </w:r>
      <w:r w:rsidRPr="0076489C">
        <w:rPr>
          <w:bdr w:val="none" w:sz="0" w:space="0" w:color="auto" w:frame="1"/>
        </w:rPr>
        <w:t xml:space="preserve"> direct</w:t>
      </w:r>
      <w:r>
        <w:rPr>
          <w:bdr w:val="none" w:sz="0" w:space="0" w:color="auto" w:frame="1"/>
        </w:rPr>
        <w:t>rice</w:t>
      </w:r>
      <w:r w:rsidRPr="0076489C">
        <w:rPr>
          <w:bdr w:val="none" w:sz="0" w:space="0" w:color="auto" w:frame="1"/>
        </w:rPr>
        <w:t xml:space="preserve"> des ressources humaines de cette nouvelle division du Québec,</w:t>
      </w:r>
      <w:r>
        <w:rPr>
          <w:bdr w:val="none" w:sz="0" w:space="0" w:color="auto" w:frame="1"/>
        </w:rPr>
        <w:t xml:space="preserve"> madame </w:t>
      </w:r>
      <w:r w:rsidRPr="0076489C">
        <w:rPr>
          <w:bdr w:val="none" w:sz="0" w:space="0" w:color="auto" w:frame="1"/>
        </w:rPr>
        <w:t>Frédér</w:t>
      </w:r>
      <w:r>
        <w:rPr>
          <w:bdr w:val="none" w:sz="0" w:space="0" w:color="auto" w:frame="1"/>
        </w:rPr>
        <w:t>ique</w:t>
      </w:r>
      <w:r w:rsidRPr="0076489C">
        <w:rPr>
          <w:bdr w:val="none" w:sz="0" w:space="0" w:color="auto" w:frame="1"/>
        </w:rPr>
        <w:t xml:space="preserve"> </w:t>
      </w:r>
      <w:proofErr w:type="spellStart"/>
      <w:r w:rsidRPr="0076489C">
        <w:rPr>
          <w:bdr w:val="none" w:sz="0" w:space="0" w:color="auto" w:frame="1"/>
        </w:rPr>
        <w:t>Gallemand</w:t>
      </w:r>
      <w:proofErr w:type="spellEnd"/>
      <w:r w:rsidRPr="0076489C">
        <w:rPr>
          <w:bdr w:val="none" w:sz="0" w:space="0" w:color="auto" w:frame="1"/>
        </w:rPr>
        <w:t>, est appelé</w:t>
      </w:r>
      <w:r>
        <w:rPr>
          <w:bdr w:val="none" w:sz="0" w:space="0" w:color="auto" w:frame="1"/>
        </w:rPr>
        <w:t>e</w:t>
      </w:r>
      <w:r w:rsidRPr="0076489C">
        <w:rPr>
          <w:bdr w:val="none" w:sz="0" w:space="0" w:color="auto" w:frame="1"/>
        </w:rPr>
        <w:t xml:space="preserve"> à collaborer de plus en plus avec l'équipe RH de la maison-mère afin d’uniformiser les pratiques RH</w:t>
      </w:r>
      <w:r>
        <w:rPr>
          <w:bdr w:val="none" w:sz="0" w:space="0" w:color="auto" w:frame="1"/>
        </w:rPr>
        <w:t>,</w:t>
      </w:r>
      <w:r w:rsidRPr="0076489C">
        <w:rPr>
          <w:bdr w:val="none" w:sz="0" w:space="0" w:color="auto" w:frame="1"/>
        </w:rPr>
        <w:t xml:space="preserve"> particulièrement en ce qui concerne les évaluations du rendement. Ce</w:t>
      </w:r>
      <w:r>
        <w:rPr>
          <w:bdr w:val="none" w:sz="0" w:space="0" w:color="auto" w:frame="1"/>
        </w:rPr>
        <w:t>lle</w:t>
      </w:r>
      <w:r w:rsidRPr="0076489C">
        <w:rPr>
          <w:bdr w:val="none" w:sz="0" w:space="0" w:color="auto" w:frame="1"/>
        </w:rPr>
        <w:t xml:space="preserve">-ci fait part de la situation à son homologue, </w:t>
      </w:r>
      <w:r>
        <w:rPr>
          <w:bdr w:val="none" w:sz="0" w:space="0" w:color="auto" w:frame="1"/>
        </w:rPr>
        <w:t>madame</w:t>
      </w:r>
      <w:r w:rsidRPr="0076489C">
        <w:rPr>
          <w:bdr w:val="none" w:sz="0" w:space="0" w:color="auto" w:frame="1"/>
        </w:rPr>
        <w:t xml:space="preserve"> Kathy Davidson vice-présidente ressources humaines pour le groupe </w:t>
      </w:r>
      <w:proofErr w:type="spellStart"/>
      <w:r w:rsidRPr="0076489C">
        <w:rPr>
          <w:bdr w:val="none" w:sz="0" w:space="0" w:color="auto" w:frame="1"/>
        </w:rPr>
        <w:t>Scholastic</w:t>
      </w:r>
      <w:proofErr w:type="spellEnd"/>
      <w:r>
        <w:rPr>
          <w:bdr w:val="none" w:sz="0" w:space="0" w:color="auto" w:frame="1"/>
        </w:rPr>
        <w:t>,</w:t>
      </w:r>
      <w:r w:rsidRPr="0076489C">
        <w:rPr>
          <w:bdr w:val="none" w:sz="0" w:space="0" w:color="auto" w:frame="1"/>
        </w:rPr>
        <w:t xml:space="preserve"> en la résumant ainsi</w:t>
      </w:r>
      <w:r>
        <w:rPr>
          <w:bdr w:val="none" w:sz="0" w:space="0" w:color="auto" w:frame="1"/>
        </w:rPr>
        <w:t> :</w:t>
      </w:r>
      <w:r w:rsidRPr="0076489C">
        <w:rPr>
          <w:bdr w:val="none" w:sz="0" w:space="0" w:color="auto" w:frame="1"/>
        </w:rPr>
        <w:t> «</w:t>
      </w:r>
      <w:r>
        <w:rPr>
          <w:bdr w:val="none" w:sz="0" w:space="0" w:color="auto" w:frame="1"/>
        </w:rPr>
        <w:t xml:space="preserve"> L</w:t>
      </w:r>
      <w:r w:rsidRPr="0076489C">
        <w:rPr>
          <w:bdr w:val="none" w:sz="0" w:space="0" w:color="auto" w:frame="1"/>
        </w:rPr>
        <w:t>es superviseurs détestent réaliser des évaluations du rendement et les employés craignent la période d’évaluation.</w:t>
      </w:r>
      <w:r>
        <w:rPr>
          <w:bdr w:val="none" w:sz="0" w:space="0" w:color="auto" w:frame="1"/>
        </w:rPr>
        <w:t xml:space="preserve"> </w:t>
      </w:r>
      <w:r w:rsidRPr="0076489C">
        <w:rPr>
          <w:bdr w:val="none" w:sz="0" w:space="0" w:color="auto" w:frame="1"/>
        </w:rPr>
        <w:t>» Tous ont l'impression que malgré l'ampleur des investissements financiers et humains en matière d’élaboration et d’implantation de processus d'évaluation et de gestion du rendement, l'organisation retire bien peu de bénéfices de cette démarche d'appréciation du personnel.  </w:t>
      </w:r>
    </w:p>
    <w:p w14:paraId="135CF2B5" w14:textId="77777777" w:rsidR="007C1FD1" w:rsidRPr="0076489C" w:rsidRDefault="007C1FD1" w:rsidP="007C1FD1">
      <w:r w:rsidRPr="0076489C">
        <w:rPr>
          <w:bdr w:val="none" w:sz="0" w:space="0" w:color="auto" w:frame="1"/>
        </w:rPr>
        <w:t>En bon</w:t>
      </w:r>
      <w:r>
        <w:rPr>
          <w:bdr w:val="none" w:sz="0" w:space="0" w:color="auto" w:frame="1"/>
        </w:rPr>
        <w:t>ne</w:t>
      </w:r>
      <w:r w:rsidRPr="0076489C">
        <w:rPr>
          <w:bdr w:val="none" w:sz="0" w:space="0" w:color="auto" w:frame="1"/>
        </w:rPr>
        <w:t xml:space="preserve"> gestionnaire, </w:t>
      </w:r>
      <w:r>
        <w:rPr>
          <w:bdr w:val="none" w:sz="0" w:space="0" w:color="auto" w:frame="1"/>
        </w:rPr>
        <w:t>elle</w:t>
      </w:r>
      <w:r w:rsidRPr="0076489C">
        <w:rPr>
          <w:bdr w:val="none" w:sz="0" w:space="0" w:color="auto" w:frame="1"/>
        </w:rPr>
        <w:t xml:space="preserve"> désire faire part de façon officielle à ses homologues de </w:t>
      </w:r>
      <w:proofErr w:type="spellStart"/>
      <w:r w:rsidRPr="0076489C">
        <w:rPr>
          <w:bdr w:val="none" w:sz="0" w:space="0" w:color="auto" w:frame="1"/>
        </w:rPr>
        <w:t>Scholastic</w:t>
      </w:r>
      <w:proofErr w:type="spellEnd"/>
      <w:r w:rsidRPr="0076489C">
        <w:rPr>
          <w:bdr w:val="none" w:sz="0" w:space="0" w:color="auto" w:frame="1"/>
        </w:rPr>
        <w:t xml:space="preserve"> de la nécessité de réaligner complètement les pratiques d’évaluation et de gestion du rendement. </w:t>
      </w:r>
    </w:p>
    <w:p w14:paraId="6FD7D08F" w14:textId="77777777" w:rsidR="007C1FD1" w:rsidRPr="0076489C" w:rsidRDefault="007C1FD1" w:rsidP="007C1FD1">
      <w:r w:rsidRPr="0076489C">
        <w:rPr>
          <w:bdr w:val="none" w:sz="0" w:space="0" w:color="auto" w:frame="1"/>
        </w:rPr>
        <w:t>M</w:t>
      </w:r>
      <w:r>
        <w:rPr>
          <w:bdr w:val="none" w:sz="0" w:space="0" w:color="auto" w:frame="1"/>
        </w:rPr>
        <w:t>adame</w:t>
      </w:r>
      <w:r w:rsidRPr="0076489C">
        <w:rPr>
          <w:bdr w:val="none" w:sz="0" w:space="0" w:color="auto" w:frame="1"/>
        </w:rPr>
        <w:t xml:space="preserve"> </w:t>
      </w:r>
      <w:proofErr w:type="spellStart"/>
      <w:r w:rsidRPr="0076489C">
        <w:rPr>
          <w:bdr w:val="none" w:sz="0" w:space="0" w:color="auto" w:frame="1"/>
        </w:rPr>
        <w:t>Gallemand</w:t>
      </w:r>
      <w:proofErr w:type="spellEnd"/>
      <w:r w:rsidRPr="0076489C">
        <w:rPr>
          <w:bdr w:val="none" w:sz="0" w:space="0" w:color="auto" w:frame="1"/>
        </w:rPr>
        <w:t xml:space="preserve"> entreprend donc de faire des recherches plus rigoureuse sur la question et </w:t>
      </w:r>
      <w:r>
        <w:rPr>
          <w:bdr w:val="none" w:sz="0" w:space="0" w:color="auto" w:frame="1"/>
        </w:rPr>
        <w:t>elle</w:t>
      </w:r>
      <w:r w:rsidRPr="0076489C">
        <w:rPr>
          <w:bdr w:val="none" w:sz="0" w:space="0" w:color="auto" w:frame="1"/>
        </w:rPr>
        <w:t xml:space="preserve"> recense plusieurs témoignages de professionnels en gestion des ressources humaines qui attestent des difficultés associées aux pratiques d’évaluation et de gestion du rendement : « l’évaluation du rendement était un outil de démotivation » ; « il faut amener notre monde à parler de ce qui va, de ce qui ne va pas » ; « l’idée principale de plusieurs gestionnaires, c’est de se débarrasser du processus traditionnel d’évaluation des employés, qui se fait quelques fois durant l’année et dont le contenu reste souvent sans suite » ; « ça ne coule pas de source, ce processus-là » ; « le stress des employés grimpait de façon marquée en mai et en juin, mois où avaient lieu les évaluations annuelles » ; « les gens avaient beaucoup d’appréhensions et de peurs reliées à leur performance » (Houde, 2019). </w:t>
      </w:r>
    </w:p>
    <w:p w14:paraId="4568F0BD" w14:textId="77777777" w:rsidR="007C1FD1" w:rsidRPr="0076489C" w:rsidRDefault="007C1FD1" w:rsidP="007C1FD1">
      <w:r>
        <w:rPr>
          <w:bdr w:val="none" w:sz="0" w:space="0" w:color="auto" w:frame="1"/>
        </w:rPr>
        <w:lastRenderedPageBreak/>
        <w:t>Elle</w:t>
      </w:r>
      <w:r w:rsidRPr="0076489C">
        <w:rPr>
          <w:bdr w:val="none" w:sz="0" w:space="0" w:color="auto" w:frame="1"/>
        </w:rPr>
        <w:t xml:space="preserve"> découvre également que la documentation professionnelle en gestion des ressources humaines souligne régulièrement que la rétroaction permet une amélioration du rendement au travail (Murphy, 2020). Quant aux études scientifiques, elles proposent un portait plus nuancé des retombées de la rétroaction : elle améliorerait le rendement dans à peu près 33 % des cas, ne contribuerait aucunement à améliorer le rendement dans quelque 33 % des cas et générerait une diminution du rendement au travail dans environ le tiers des cas. Bref, force est de constater que l’incidence de la rétroaction sur l’amélioration du rendement au travail est très limitée (Cleveland, Lim et Murphy, 2007). </w:t>
      </w:r>
    </w:p>
    <w:p w14:paraId="65E866FD" w14:textId="77777777" w:rsidR="007C1FD1" w:rsidRPr="0076489C" w:rsidRDefault="007C1FD1" w:rsidP="007C1FD1">
      <w:r w:rsidRPr="0076489C">
        <w:rPr>
          <w:bdr w:val="none" w:sz="0" w:space="0" w:color="auto" w:frame="1"/>
        </w:rPr>
        <w:t xml:space="preserve">Finalement, </w:t>
      </w:r>
      <w:r>
        <w:rPr>
          <w:bdr w:val="none" w:sz="0" w:space="0" w:color="auto" w:frame="1"/>
        </w:rPr>
        <w:t>elle</w:t>
      </w:r>
      <w:r w:rsidRPr="0076489C">
        <w:rPr>
          <w:bdr w:val="none" w:sz="0" w:space="0" w:color="auto" w:frame="1"/>
        </w:rPr>
        <w:t xml:space="preserve"> est à même d’observer dans son milieu de travail des obstacles additionnels à l’évaluation et à la gestion optimales du rendement : (1) l’inconfort qu’éprouvent les gestionnaires à l’idée de transmettre de la rétroaction négative ou critique ; (2) la difficulté de gérer les conséquences de l’évaluation ; et (3) le postulat erroné de la présence de différences individuelles importantes en matière de performance au travail (Murphy, Cleveland et </w:t>
      </w:r>
      <w:proofErr w:type="spellStart"/>
      <w:r w:rsidRPr="0076489C">
        <w:rPr>
          <w:bdr w:val="none" w:sz="0" w:space="0" w:color="auto" w:frame="1"/>
        </w:rPr>
        <w:t>Hanscom</w:t>
      </w:r>
      <w:proofErr w:type="spellEnd"/>
      <w:r w:rsidRPr="0076489C">
        <w:rPr>
          <w:bdr w:val="none" w:sz="0" w:space="0" w:color="auto" w:frame="1"/>
        </w:rPr>
        <w:t>, 2019). </w:t>
      </w:r>
    </w:p>
    <w:p w14:paraId="1FC3DA12" w14:textId="77777777" w:rsidR="007C1FD1" w:rsidRPr="0076489C" w:rsidRDefault="007C1FD1" w:rsidP="007C1FD1">
      <w:r w:rsidRPr="0076489C">
        <w:rPr>
          <w:bdr w:val="none" w:sz="0" w:space="0" w:color="auto" w:frame="1"/>
        </w:rPr>
        <w:t xml:space="preserve">À la lumière de ce bilan critique des données scientifiques et professionnelles, </w:t>
      </w:r>
      <w:r>
        <w:rPr>
          <w:bdr w:val="none" w:sz="0" w:space="0" w:color="auto" w:frame="1"/>
        </w:rPr>
        <w:t>elle</w:t>
      </w:r>
      <w:r w:rsidRPr="0076489C">
        <w:rPr>
          <w:bdr w:val="none" w:sz="0" w:space="0" w:color="auto" w:frame="1"/>
        </w:rPr>
        <w:t xml:space="preserve"> recommande d’appliquer seulement l’évaluation et la gestion du rendement à des contextes spécifiques tels que : (1) l’évaluation des nouveaux employés ou des employés difficiles ; et (2) l’apprentissage et la maîtrise de nouveaux mandats au travail ainsi que la réalisation d’objectifs professionnels. </w:t>
      </w:r>
    </w:p>
    <w:p w14:paraId="4885265F" w14:textId="77777777" w:rsidR="007C1FD1" w:rsidRDefault="007C1FD1" w:rsidP="007C1FD1">
      <w:pPr>
        <w:rPr>
          <w:bdr w:val="none" w:sz="0" w:space="0" w:color="auto" w:frame="1"/>
        </w:rPr>
      </w:pPr>
      <w:r>
        <w:rPr>
          <w:bdr w:val="none" w:sz="0" w:space="0" w:color="auto" w:frame="1"/>
        </w:rPr>
        <w:t>Elle</w:t>
      </w:r>
      <w:r w:rsidRPr="0076489C">
        <w:rPr>
          <w:bdr w:val="none" w:sz="0" w:space="0" w:color="auto" w:frame="1"/>
        </w:rPr>
        <w:t xml:space="preserve"> est d’avis que plutôt que de mettre l’accent sur la précision des évaluations du rendement, on devrait développer le leadership, la maîtrise des habiletés de coaching ainsi que les habiletés politiques de nature positive chez les gestionnaires afin de gérer correctement les conséquences de l’évaluation sur l’engagement, l’amélioration de la performance et le bien-être au travail. </w:t>
      </w:r>
      <w:r>
        <w:rPr>
          <w:bdr w:val="none" w:sz="0" w:space="0" w:color="auto" w:frame="1"/>
        </w:rPr>
        <w:t>Elle</w:t>
      </w:r>
      <w:r w:rsidRPr="0076489C">
        <w:rPr>
          <w:bdr w:val="none" w:sz="0" w:space="0" w:color="auto" w:frame="1"/>
        </w:rPr>
        <w:t xml:space="preserve"> est convaincu</w:t>
      </w:r>
      <w:r>
        <w:rPr>
          <w:bdr w:val="none" w:sz="0" w:space="0" w:color="auto" w:frame="1"/>
        </w:rPr>
        <w:t>e</w:t>
      </w:r>
      <w:r w:rsidRPr="0076489C">
        <w:rPr>
          <w:bdr w:val="none" w:sz="0" w:space="0" w:color="auto" w:frame="1"/>
        </w:rPr>
        <w:t xml:space="preserve"> de la pertinence d’implanter un environnement bienveillant qui encourage la réceptivité des superviseurs et des employés à l’égard de la rétroaction.</w:t>
      </w:r>
    </w:p>
    <w:p w14:paraId="4C13AD22" w14:textId="50542E68" w:rsidR="00A723B7" w:rsidRPr="002762DE" w:rsidRDefault="00A723B7" w:rsidP="007C1FD1">
      <w:pPr>
        <w:pStyle w:val="Titre4"/>
      </w:pPr>
      <w:r w:rsidRPr="002762DE">
        <w:t xml:space="preserve">Questions </w:t>
      </w:r>
    </w:p>
    <w:p w14:paraId="29E5BF5B" w14:textId="7C3A09F9" w:rsidR="00A723B7" w:rsidRPr="00A723B7" w:rsidRDefault="00A723B7" w:rsidP="00A723B7">
      <w:pPr>
        <w:pStyle w:val="Paragraphedeliste"/>
        <w:numPr>
          <w:ilvl w:val="0"/>
          <w:numId w:val="48"/>
        </w:numPr>
        <w:spacing w:line="276" w:lineRule="auto"/>
        <w:rPr>
          <w:rFonts w:cs="Arial"/>
        </w:rPr>
      </w:pPr>
      <w:r w:rsidRPr="00A723B7">
        <w:rPr>
          <w:rFonts w:cs="Arial"/>
        </w:rPr>
        <w:t>Selon vous, comment peut-on implanter un environnement de rétroaction bienveillant ?</w:t>
      </w:r>
    </w:p>
    <w:p w14:paraId="6DEABCE7" w14:textId="1797D59C" w:rsidR="00A723B7" w:rsidRPr="002762DE" w:rsidRDefault="00A723B7" w:rsidP="00A723B7">
      <w:pPr>
        <w:pStyle w:val="Rsumdelathse"/>
        <w:numPr>
          <w:ilvl w:val="0"/>
          <w:numId w:val="48"/>
        </w:numPr>
        <w:spacing w:after="160" w:line="276" w:lineRule="auto"/>
        <w:jc w:val="left"/>
        <w:rPr>
          <w:rFonts w:asciiTheme="minorHAnsi" w:hAnsiTheme="minorHAnsi" w:cs="Arial"/>
          <w:sz w:val="22"/>
          <w:szCs w:val="22"/>
        </w:rPr>
      </w:pPr>
      <w:r>
        <w:rPr>
          <w:rFonts w:asciiTheme="minorHAnsi" w:hAnsiTheme="minorHAnsi" w:cs="Arial"/>
          <w:sz w:val="22"/>
          <w:szCs w:val="22"/>
        </w:rPr>
        <w:t>D’après</w:t>
      </w:r>
      <w:r w:rsidRPr="002762DE">
        <w:rPr>
          <w:rFonts w:asciiTheme="minorHAnsi" w:hAnsiTheme="minorHAnsi" w:cs="Arial"/>
          <w:sz w:val="22"/>
          <w:szCs w:val="22"/>
        </w:rPr>
        <w:t xml:space="preserve"> vous, quelles sont les dimensions de la réceptivité de l’employé à l’égard de la rétroaction</w:t>
      </w:r>
      <w:r>
        <w:rPr>
          <w:rFonts w:asciiTheme="minorHAnsi" w:hAnsiTheme="minorHAnsi" w:cs="Arial"/>
          <w:sz w:val="22"/>
          <w:szCs w:val="22"/>
        </w:rPr>
        <w:t> </w:t>
      </w:r>
      <w:r w:rsidRPr="002762DE">
        <w:rPr>
          <w:rFonts w:asciiTheme="minorHAnsi" w:hAnsiTheme="minorHAnsi" w:cs="Arial"/>
          <w:sz w:val="22"/>
          <w:szCs w:val="22"/>
        </w:rPr>
        <w:t xml:space="preserve">? Comment </w:t>
      </w:r>
      <w:r>
        <w:rPr>
          <w:rFonts w:asciiTheme="minorHAnsi" w:hAnsiTheme="minorHAnsi" w:cs="Arial"/>
          <w:sz w:val="22"/>
          <w:szCs w:val="22"/>
        </w:rPr>
        <w:t xml:space="preserve">peut-on </w:t>
      </w:r>
      <w:r w:rsidRPr="002762DE">
        <w:rPr>
          <w:rFonts w:asciiTheme="minorHAnsi" w:hAnsiTheme="minorHAnsi" w:cs="Arial"/>
          <w:sz w:val="22"/>
          <w:szCs w:val="22"/>
        </w:rPr>
        <w:t xml:space="preserve">améliorer </w:t>
      </w:r>
      <w:r>
        <w:rPr>
          <w:rFonts w:asciiTheme="minorHAnsi" w:hAnsiTheme="minorHAnsi" w:cs="Arial"/>
          <w:sz w:val="22"/>
          <w:szCs w:val="22"/>
        </w:rPr>
        <w:t>cette</w:t>
      </w:r>
      <w:r w:rsidRPr="002762DE">
        <w:rPr>
          <w:rFonts w:asciiTheme="minorHAnsi" w:hAnsiTheme="minorHAnsi" w:cs="Arial"/>
          <w:sz w:val="22"/>
          <w:szCs w:val="22"/>
        </w:rPr>
        <w:t xml:space="preserve"> réceptivité</w:t>
      </w:r>
      <w:r>
        <w:rPr>
          <w:rFonts w:asciiTheme="minorHAnsi" w:hAnsiTheme="minorHAnsi" w:cs="Arial"/>
          <w:sz w:val="22"/>
          <w:szCs w:val="22"/>
        </w:rPr>
        <w:t> </w:t>
      </w:r>
      <w:r w:rsidRPr="002762DE">
        <w:rPr>
          <w:rFonts w:asciiTheme="minorHAnsi" w:hAnsiTheme="minorHAnsi" w:cs="Arial"/>
          <w:sz w:val="22"/>
          <w:szCs w:val="22"/>
        </w:rPr>
        <w:t>?</w:t>
      </w:r>
    </w:p>
    <w:p w14:paraId="615DE89F" w14:textId="00054431" w:rsidR="00A723B7" w:rsidRPr="002762DE" w:rsidRDefault="00A723B7" w:rsidP="00A723B7">
      <w:pPr>
        <w:pStyle w:val="Rsumdelathse"/>
        <w:numPr>
          <w:ilvl w:val="0"/>
          <w:numId w:val="48"/>
        </w:numPr>
        <w:spacing w:after="160" w:line="276" w:lineRule="auto"/>
        <w:jc w:val="left"/>
        <w:rPr>
          <w:rFonts w:asciiTheme="minorHAnsi" w:eastAsia="Calibri" w:hAnsiTheme="minorHAnsi" w:cs="Arial"/>
          <w:sz w:val="22"/>
          <w:szCs w:val="22"/>
        </w:rPr>
      </w:pPr>
      <w:r w:rsidRPr="002762DE">
        <w:rPr>
          <w:rFonts w:asciiTheme="minorHAnsi" w:eastAsia="Calibri" w:hAnsiTheme="minorHAnsi" w:cs="Arial"/>
          <w:sz w:val="22"/>
          <w:szCs w:val="22"/>
          <w:lang w:eastAsia="en-US"/>
        </w:rPr>
        <w:t xml:space="preserve">À partir de la documentation </w:t>
      </w:r>
      <w:r>
        <w:rPr>
          <w:rFonts w:asciiTheme="minorHAnsi" w:eastAsia="Calibri" w:hAnsiTheme="minorHAnsi" w:cs="Arial"/>
          <w:sz w:val="22"/>
          <w:szCs w:val="22"/>
          <w:lang w:eastAsia="en-US"/>
        </w:rPr>
        <w:t xml:space="preserve">et </w:t>
      </w:r>
      <w:r w:rsidRPr="002762DE">
        <w:rPr>
          <w:rFonts w:asciiTheme="minorHAnsi" w:eastAsia="Calibri" w:hAnsiTheme="minorHAnsi" w:cs="Arial"/>
          <w:sz w:val="22"/>
          <w:szCs w:val="22"/>
          <w:lang w:eastAsia="en-US"/>
        </w:rPr>
        <w:t>de votre réflexion sur les enjeux en gestion du rendement, recommandez quelques orientations susceptibles de promouvoir une meilleure gestion du rendement dans les organisations</w:t>
      </w:r>
      <w:r>
        <w:rPr>
          <w:rFonts w:asciiTheme="minorHAnsi" w:eastAsia="Calibri" w:hAnsiTheme="minorHAnsi" w:cs="Arial"/>
          <w:sz w:val="22"/>
          <w:szCs w:val="22"/>
          <w:lang w:eastAsia="en-US"/>
        </w:rPr>
        <w:t>.</w:t>
      </w:r>
    </w:p>
    <w:p w14:paraId="6AB1FB98" w14:textId="0420EFCA" w:rsidR="00A723B7" w:rsidRPr="00A723B7" w:rsidRDefault="00A723B7" w:rsidP="00A723B7">
      <w:pPr>
        <w:pStyle w:val="Paragraphedeliste"/>
        <w:numPr>
          <w:ilvl w:val="0"/>
          <w:numId w:val="48"/>
        </w:numPr>
        <w:spacing w:line="276" w:lineRule="auto"/>
        <w:rPr>
          <w:rFonts w:cs="Arial"/>
        </w:rPr>
      </w:pPr>
      <w:r w:rsidRPr="00A723B7">
        <w:rPr>
          <w:rFonts w:cs="Arial"/>
        </w:rPr>
        <w:t>Selon vous, y a-t-il réellement des différences individuelles importantes en matière de rendement au travail chez les membres d’une équipe ? Dans quelle mesure le rendement individuel au travail s’appuie-t-il sur une courbe normale de performance ?</w:t>
      </w:r>
    </w:p>
    <w:p w14:paraId="76D53CCC" w14:textId="77777777" w:rsidR="00A723B7" w:rsidRDefault="00A723B7" w:rsidP="00A723B7">
      <w:pPr>
        <w:pStyle w:val="Titre2"/>
        <w:rPr>
          <w:rFonts w:ascii="Arial" w:hAnsi="Arial" w:cs="Arial"/>
        </w:rPr>
      </w:pPr>
      <w:r w:rsidRPr="00C87FEE">
        <w:lastRenderedPageBreak/>
        <w:t>NOTES PÉDAGOGIQUES</w:t>
      </w:r>
    </w:p>
    <w:p w14:paraId="6D8A5EAF" w14:textId="226A36D7" w:rsidR="00A723B7" w:rsidRPr="00C33BFD" w:rsidRDefault="00A723B7" w:rsidP="00C33BFD">
      <w:pPr>
        <w:pStyle w:val="Titre4"/>
      </w:pPr>
      <w:r w:rsidRPr="00C33BFD">
        <w:t xml:space="preserve">1. Selon vous, </w:t>
      </w:r>
      <w:r w:rsidR="00C33BFD" w:rsidRPr="00C33BFD">
        <w:t xml:space="preserve">si la maison-mère accepte de revoir ses politiques en matière d’évaluation de rendement comment madame </w:t>
      </w:r>
      <w:proofErr w:type="spellStart"/>
      <w:r w:rsidR="00C33BFD" w:rsidRPr="00C33BFD">
        <w:t>Gallemand</w:t>
      </w:r>
      <w:proofErr w:type="spellEnd"/>
      <w:r w:rsidR="00C33BFD" w:rsidRPr="00C33BFD">
        <w:t xml:space="preserve"> pourrait-elle s’y prendre pour implanter un environnement de rétroaction bienveillant </w:t>
      </w:r>
      <w:r w:rsidRPr="00C33BFD">
        <w:t>?</w:t>
      </w:r>
    </w:p>
    <w:p w14:paraId="705F5416" w14:textId="77777777" w:rsidR="00A723B7" w:rsidRPr="002762DE" w:rsidRDefault="00A723B7" w:rsidP="00A723B7">
      <w:r w:rsidRPr="002762DE">
        <w:t xml:space="preserve">À l’intérieur d’un environnement favorable, les évaluateurs sont </w:t>
      </w:r>
      <w:r>
        <w:t xml:space="preserve">à l’aise à l’idée de </w:t>
      </w:r>
      <w:r w:rsidRPr="002762DE">
        <w:t xml:space="preserve">transmettre de la rétroaction informelle puisque l’organisation est réceptive à leur effort de s’investir dans la gestion de la rétroaction. Par ailleurs, le contexte psychologique associé au processus de rétroaction est sécuritaire. La rétroaction négative ou critique ne génère pas d’emblée de conséquences négatives pour les superviseurs et les employés. En effet, il y a </w:t>
      </w:r>
      <w:r>
        <w:t xml:space="preserve">ici </w:t>
      </w:r>
      <w:r w:rsidRPr="002762DE">
        <w:t>une valorisation de l’approche d’apprentissage et de développement soutenu de la trajectoire professionnelle des employés.</w:t>
      </w:r>
    </w:p>
    <w:p w14:paraId="1429BB38" w14:textId="77777777" w:rsidR="00A723B7" w:rsidRPr="002762DE" w:rsidRDefault="00A723B7" w:rsidP="00A723B7">
      <w:r w:rsidRPr="002762DE">
        <w:t xml:space="preserve">L’environnement de rétroaction </w:t>
      </w:r>
      <w:r>
        <w:t>est</w:t>
      </w:r>
      <w:r w:rsidRPr="002762DE">
        <w:t xml:space="preserve"> une variable très récente qui se rattache au contexte social de la gestion du rendement. L’analyse de </w:t>
      </w:r>
      <w:r>
        <w:t xml:space="preserve">cet </w:t>
      </w:r>
      <w:r w:rsidRPr="002762DE">
        <w:t xml:space="preserve">environnement permet de déterminer l’importance que l’organisation accorde au processus de rétroaction. Plus spécifiquement, l’environnement de rétroaction se concentre sur la crédibilité du superviseur, la qualité de la rétroaction, </w:t>
      </w:r>
      <w:r>
        <w:t>s</w:t>
      </w:r>
      <w:r w:rsidRPr="002762DE">
        <w:t>a transmission, la fréquence de la rétroaction positive et négative, la disponibilité du superviseur et la valorisation de la sollicitation de rétroaction (</w:t>
      </w:r>
      <w:r w:rsidRPr="002762DE">
        <w:rPr>
          <w:i/>
        </w:rPr>
        <w:t xml:space="preserve">feedback </w:t>
      </w:r>
      <w:proofErr w:type="spellStart"/>
      <w:r w:rsidRPr="002762DE">
        <w:rPr>
          <w:i/>
        </w:rPr>
        <w:t>seeking</w:t>
      </w:r>
      <w:proofErr w:type="spellEnd"/>
      <w:r w:rsidRPr="002762DE">
        <w:t xml:space="preserve">). Les superviseurs </w:t>
      </w:r>
      <w:r>
        <w:t xml:space="preserve">et </w:t>
      </w:r>
      <w:r w:rsidRPr="002762DE">
        <w:t xml:space="preserve">les employés sont </w:t>
      </w:r>
      <w:r>
        <w:t xml:space="preserve">à l’aise avec l’idée de </w:t>
      </w:r>
      <w:r w:rsidRPr="002762DE">
        <w:t xml:space="preserve">transmettre et </w:t>
      </w:r>
      <w:r>
        <w:t>de</w:t>
      </w:r>
      <w:r w:rsidRPr="002762DE">
        <w:t xml:space="preserve"> recevoir de la rétroaction dans un environnement favorable. Par ailleurs, un </w:t>
      </w:r>
      <w:r>
        <w:t xml:space="preserve">tel </w:t>
      </w:r>
      <w:r w:rsidRPr="002762DE">
        <w:t xml:space="preserve">environnement </w:t>
      </w:r>
      <w:r>
        <w:t xml:space="preserve">les </w:t>
      </w:r>
      <w:r w:rsidRPr="002762DE">
        <w:t>encourage à solliciter de la rétroaction formelle et informelle afin d’améliorer leur rendement au travail.</w:t>
      </w:r>
    </w:p>
    <w:p w14:paraId="20000420" w14:textId="77777777" w:rsidR="00A723B7" w:rsidRPr="002762DE" w:rsidRDefault="00A723B7" w:rsidP="00A723B7">
      <w:r w:rsidRPr="002762DE">
        <w:t xml:space="preserve">Les diverses pratiques associées à la culture de rétroaction </w:t>
      </w:r>
      <w:r>
        <w:t>s’appuient sur des</w:t>
      </w:r>
      <w:r w:rsidRPr="002762DE">
        <w:t xml:space="preserve"> valeurs telles que</w:t>
      </w:r>
      <w:r>
        <w:t> </w:t>
      </w:r>
      <w:r w:rsidRPr="002762DE">
        <w:t>: (1)</w:t>
      </w:r>
      <w:r>
        <w:t> l’</w:t>
      </w:r>
      <w:r w:rsidRPr="002762DE">
        <w:t>ouverture à la rétroaction</w:t>
      </w:r>
      <w:r>
        <w:t> </w:t>
      </w:r>
      <w:r w:rsidRPr="002762DE">
        <w:t>; (2)</w:t>
      </w:r>
      <w:r>
        <w:t xml:space="preserve"> le </w:t>
      </w:r>
      <w:r w:rsidRPr="002762DE">
        <w:t>dépassement de soi</w:t>
      </w:r>
      <w:r>
        <w:t> </w:t>
      </w:r>
      <w:r w:rsidRPr="002762DE">
        <w:t>; (3)</w:t>
      </w:r>
      <w:r>
        <w:t xml:space="preserve"> la </w:t>
      </w:r>
      <w:r w:rsidRPr="002762DE">
        <w:t xml:space="preserve">confiance </w:t>
      </w:r>
      <w:r>
        <w:t>dans les</w:t>
      </w:r>
      <w:r w:rsidRPr="002762DE">
        <w:t xml:space="preserve"> employés</w:t>
      </w:r>
      <w:r>
        <w:t> </w:t>
      </w:r>
      <w:r w:rsidRPr="002762DE">
        <w:t>; (4)</w:t>
      </w:r>
      <w:r>
        <w:t xml:space="preserve"> la </w:t>
      </w:r>
      <w:r w:rsidRPr="002762DE">
        <w:t>réussite</w:t>
      </w:r>
      <w:r>
        <w:t xml:space="preserve"> </w:t>
      </w:r>
      <w:r w:rsidRPr="002762DE">
        <w:t>des employés</w:t>
      </w:r>
      <w:r>
        <w:t> </w:t>
      </w:r>
      <w:r w:rsidRPr="002762DE">
        <w:t>; (5)</w:t>
      </w:r>
      <w:r>
        <w:t xml:space="preserve"> la </w:t>
      </w:r>
      <w:r w:rsidRPr="002762DE">
        <w:t>sollicitude</w:t>
      </w:r>
      <w:r>
        <w:t> </w:t>
      </w:r>
      <w:r w:rsidRPr="002762DE">
        <w:t>; (6)</w:t>
      </w:r>
      <w:r>
        <w:t xml:space="preserve"> le </w:t>
      </w:r>
      <w:r w:rsidRPr="002762DE">
        <w:t>développement humain</w:t>
      </w:r>
      <w:r>
        <w:t> </w:t>
      </w:r>
      <w:r w:rsidRPr="002762DE">
        <w:t>; (7)</w:t>
      </w:r>
      <w:r>
        <w:t xml:space="preserve"> le </w:t>
      </w:r>
      <w:r w:rsidRPr="002762DE">
        <w:t>droit à l’erreur</w:t>
      </w:r>
      <w:r>
        <w:t> ;</w:t>
      </w:r>
      <w:r w:rsidRPr="002762DE">
        <w:t xml:space="preserve"> et</w:t>
      </w:r>
      <w:r>
        <w:t> </w:t>
      </w:r>
      <w:r w:rsidRPr="002762DE">
        <w:t>(8)</w:t>
      </w:r>
      <w:r>
        <w:t xml:space="preserve"> la </w:t>
      </w:r>
      <w:r w:rsidRPr="002762DE">
        <w:t xml:space="preserve">reconnaissance et </w:t>
      </w:r>
      <w:r>
        <w:t xml:space="preserve">la </w:t>
      </w:r>
      <w:r w:rsidRPr="002762DE">
        <w:t xml:space="preserve">valorisation des employés. </w:t>
      </w:r>
    </w:p>
    <w:p w14:paraId="3BAAFC9E" w14:textId="77777777" w:rsidR="00A723B7" w:rsidRPr="002762DE" w:rsidRDefault="00A723B7" w:rsidP="00A723B7">
      <w:r w:rsidRPr="002762DE">
        <w:t xml:space="preserve">Un environnement de rétroaction </w:t>
      </w:r>
      <w:r w:rsidRPr="002556B9">
        <w:t xml:space="preserve">bienveillant </w:t>
      </w:r>
      <w:r w:rsidRPr="002762DE">
        <w:t>repose sur les activités suivantes</w:t>
      </w:r>
      <w:r>
        <w:t> </w:t>
      </w:r>
      <w:r w:rsidRPr="002762DE">
        <w:t>: (1)</w:t>
      </w:r>
      <w:r>
        <w:t> </w:t>
      </w:r>
      <w:r w:rsidRPr="002762DE">
        <w:t>former les gestionnaires à transmettre de la rétroaction efficace dans une multitude de situations interpersonnelles difficiles</w:t>
      </w:r>
      <w:r>
        <w:t> </w:t>
      </w:r>
      <w:r w:rsidRPr="002762DE">
        <w:t>; (2)</w:t>
      </w:r>
      <w:r>
        <w:t> développer</w:t>
      </w:r>
      <w:r w:rsidRPr="002762DE">
        <w:t xml:space="preserve"> la confiance </w:t>
      </w:r>
      <w:r>
        <w:t xml:space="preserve">et </w:t>
      </w:r>
      <w:r w:rsidRPr="002762DE">
        <w:t>le dialogue continu entre le superviseur et ses employés</w:t>
      </w:r>
      <w:r>
        <w:t> </w:t>
      </w:r>
      <w:r w:rsidRPr="002762DE">
        <w:t>; (3)</w:t>
      </w:r>
      <w:r>
        <w:t> </w:t>
      </w:r>
      <w:r w:rsidRPr="002762DE">
        <w:t>implanter un contexte de rétroaction fondé sur un environnement psychologique de nature sécuritaire</w:t>
      </w:r>
      <w:r>
        <w:t xml:space="preserve"> (l</w:t>
      </w:r>
      <w:r w:rsidRPr="002762DE">
        <w:t xml:space="preserve">a rétroaction négative </w:t>
      </w:r>
      <w:r>
        <w:t>ou critique – avec l’aide d’un plan d’action –</w:t>
      </w:r>
      <w:r w:rsidRPr="002556B9">
        <w:t xml:space="preserve"> </w:t>
      </w:r>
      <w:r w:rsidRPr="002762DE">
        <w:t>ne produit pas de conséquence négative pour les superviseurs et les subordonnés</w:t>
      </w:r>
      <w:r>
        <w:t xml:space="preserve">, mais </w:t>
      </w:r>
      <w:r w:rsidRPr="002762DE">
        <w:t xml:space="preserve">s’inscrit avantageusement dans la valorisation de l’apprentissage personnel et professionnel </w:t>
      </w:r>
      <w:r>
        <w:t>– </w:t>
      </w:r>
      <w:r w:rsidRPr="002762DE">
        <w:t xml:space="preserve">l’employé possède les ressources personnelles et professionnelles </w:t>
      </w:r>
      <w:r>
        <w:t xml:space="preserve">requises </w:t>
      </w:r>
      <w:r w:rsidRPr="002762DE">
        <w:t>pour réaliser les attentes du superviseur</w:t>
      </w:r>
      <w:r>
        <w:t xml:space="preserve"> ; bref, une </w:t>
      </w:r>
      <w:r w:rsidRPr="002762DE">
        <w:t xml:space="preserve">approche positive dans la gestion de la rétroaction négative augmente la réceptivité des employés à l’égard de </w:t>
      </w:r>
      <w:r>
        <w:t>celle-ci) </w:t>
      </w:r>
      <w:r w:rsidRPr="002762DE">
        <w:t>; (4)</w:t>
      </w:r>
      <w:r>
        <w:t> </w:t>
      </w:r>
      <w:r w:rsidRPr="002762DE">
        <w:t xml:space="preserve">fournir </w:t>
      </w:r>
      <w:r>
        <w:t>d</w:t>
      </w:r>
      <w:r w:rsidRPr="002762DE">
        <w:t xml:space="preserve">es normes concernant </w:t>
      </w:r>
      <w:r>
        <w:t>des</w:t>
      </w:r>
      <w:r w:rsidRPr="002762DE">
        <w:t xml:space="preserve"> performance</w:t>
      </w:r>
      <w:r>
        <w:t>s</w:t>
      </w:r>
      <w:r w:rsidRPr="002762DE">
        <w:t xml:space="preserve"> inacceptable</w:t>
      </w:r>
      <w:r>
        <w:t xml:space="preserve">s, </w:t>
      </w:r>
      <w:r w:rsidRPr="002762DE">
        <w:t>satisfaisante</w:t>
      </w:r>
      <w:r>
        <w:t>s</w:t>
      </w:r>
      <w:r w:rsidRPr="002762DE">
        <w:t xml:space="preserve"> </w:t>
      </w:r>
      <w:r>
        <w:t xml:space="preserve">ou </w:t>
      </w:r>
      <w:r w:rsidRPr="002762DE">
        <w:t>supérieure</w:t>
      </w:r>
      <w:r>
        <w:t>s</w:t>
      </w:r>
      <w:r w:rsidRPr="002762DE">
        <w:t xml:space="preserve"> tout en s’assurant que les employés puissent atteindre leurs objectifs professionnels ainsi que les attentes organisationnels (</w:t>
      </w:r>
      <w:r>
        <w:t>selon l</w:t>
      </w:r>
      <w:r w:rsidRPr="002762DE">
        <w:t>es ressources disponibles)</w:t>
      </w:r>
      <w:r>
        <w:t xml:space="preserve"> ; </w:t>
      </w:r>
      <w:r w:rsidRPr="002762DE">
        <w:t>et</w:t>
      </w:r>
      <w:r>
        <w:t xml:space="preserve"> </w:t>
      </w:r>
      <w:r w:rsidRPr="002762DE">
        <w:t>(5)</w:t>
      </w:r>
      <w:r>
        <w:t> </w:t>
      </w:r>
      <w:r w:rsidRPr="002762DE">
        <w:t>implant</w:t>
      </w:r>
      <w:r>
        <w:t>er</w:t>
      </w:r>
      <w:r w:rsidRPr="002762DE">
        <w:t xml:space="preserve"> et prom</w:t>
      </w:r>
      <w:r>
        <w:t>ouvoir</w:t>
      </w:r>
      <w:r w:rsidRPr="002762DE">
        <w:t xml:space="preserve"> une culture d’apprentissage fondée sur l’amélioration du sentiment d’efficacité personnelle des employés, </w:t>
      </w:r>
      <w:r>
        <w:t xml:space="preserve">sur </w:t>
      </w:r>
      <w:r w:rsidRPr="002762DE">
        <w:t xml:space="preserve">l’apprentissage continu (le droit à l’erreur) et </w:t>
      </w:r>
      <w:r>
        <w:t>sur le soutien</w:t>
      </w:r>
      <w:r w:rsidRPr="002762DE">
        <w:t xml:space="preserve"> organisationnel en matière de développement </w:t>
      </w:r>
      <w:r w:rsidRPr="002762DE">
        <w:lastRenderedPageBreak/>
        <w:t>professionnel. Une telle approche encourage la sollicitation de la rétroaction et l’imputabilité des employés en matière d’usage de la rétroaction pour améliorer leur performance au travail.</w:t>
      </w:r>
    </w:p>
    <w:p w14:paraId="29AA0DB2" w14:textId="77777777" w:rsidR="00A723B7" w:rsidRPr="002762DE" w:rsidRDefault="00A723B7" w:rsidP="00A723B7">
      <w:pPr>
        <w:rPr>
          <w:rFonts w:cs="Arial"/>
        </w:rPr>
      </w:pPr>
      <w:r w:rsidRPr="002762DE">
        <w:rPr>
          <w:rFonts w:cs="Arial"/>
        </w:rPr>
        <w:t xml:space="preserve">Une forte culture d’apprentissage augmente le caractère positif du processus d’évaluation et de gestion du rendement </w:t>
      </w:r>
      <w:r>
        <w:rPr>
          <w:rFonts w:cs="Arial"/>
        </w:rPr>
        <w:t>chez</w:t>
      </w:r>
      <w:r w:rsidRPr="002762DE">
        <w:rPr>
          <w:rFonts w:cs="Arial"/>
        </w:rPr>
        <w:t xml:space="preserve"> les superviseurs et les employés. </w:t>
      </w:r>
      <w:r>
        <w:rPr>
          <w:rFonts w:cs="Arial"/>
        </w:rPr>
        <w:t xml:space="preserve">Elle </w:t>
      </w:r>
      <w:r w:rsidRPr="002762DE">
        <w:rPr>
          <w:rFonts w:cs="Arial"/>
        </w:rPr>
        <w:t>valorise</w:t>
      </w:r>
      <w:r>
        <w:rPr>
          <w:rFonts w:cs="Arial"/>
        </w:rPr>
        <w:t> </w:t>
      </w:r>
      <w:r w:rsidRPr="002762DE">
        <w:rPr>
          <w:rFonts w:cs="Arial"/>
        </w:rPr>
        <w:t>: (1)</w:t>
      </w:r>
      <w:r>
        <w:rPr>
          <w:rFonts w:cs="Arial"/>
        </w:rPr>
        <w:t> </w:t>
      </w:r>
      <w:r w:rsidRPr="002762DE">
        <w:rPr>
          <w:rFonts w:cs="Arial"/>
        </w:rPr>
        <w:t>l’expérimentation de nouveaux comportements</w:t>
      </w:r>
      <w:r>
        <w:rPr>
          <w:rFonts w:cs="Arial"/>
        </w:rPr>
        <w:t> </w:t>
      </w:r>
      <w:r w:rsidRPr="002762DE">
        <w:rPr>
          <w:rFonts w:cs="Arial"/>
        </w:rPr>
        <w:t xml:space="preserve">; </w:t>
      </w:r>
      <w:r>
        <w:rPr>
          <w:rFonts w:cs="Arial"/>
        </w:rPr>
        <w:t xml:space="preserve">et </w:t>
      </w:r>
      <w:r w:rsidRPr="002762DE">
        <w:rPr>
          <w:rFonts w:cs="Arial"/>
        </w:rPr>
        <w:t>(2)</w:t>
      </w:r>
      <w:r>
        <w:rPr>
          <w:rFonts w:cs="Arial"/>
        </w:rPr>
        <w:t> </w:t>
      </w:r>
      <w:r w:rsidRPr="002762DE">
        <w:rPr>
          <w:rFonts w:cs="Arial"/>
        </w:rPr>
        <w:t xml:space="preserve">l’introspection relative au potentiel de développement en matière de performance au travail ou concernant une nouvelle trajectoire de performance pour le bénéfice des employés et de l’organisation. En somme, </w:t>
      </w:r>
      <w:r>
        <w:rPr>
          <w:rFonts w:cs="Arial"/>
        </w:rPr>
        <w:t xml:space="preserve">elle </w:t>
      </w:r>
      <w:r w:rsidRPr="002762DE">
        <w:rPr>
          <w:rFonts w:cs="Arial"/>
        </w:rPr>
        <w:t xml:space="preserve">favorise la rétroaction informelle (sans retombées </w:t>
      </w:r>
      <w:r>
        <w:rPr>
          <w:rFonts w:cs="Arial"/>
        </w:rPr>
        <w:t>ni</w:t>
      </w:r>
      <w:r w:rsidRPr="002762DE">
        <w:rPr>
          <w:rFonts w:cs="Arial"/>
        </w:rPr>
        <w:t xml:space="preserve"> conséquences négatives pour </w:t>
      </w:r>
      <w:r>
        <w:rPr>
          <w:rFonts w:cs="Arial"/>
        </w:rPr>
        <w:t>quiconque</w:t>
      </w:r>
      <w:r w:rsidRPr="002762DE">
        <w:rPr>
          <w:rFonts w:cs="Arial"/>
        </w:rPr>
        <w:t>) dans le cadre de la relation superviseur</w:t>
      </w:r>
      <w:r>
        <w:rPr>
          <w:rFonts w:cs="Arial"/>
        </w:rPr>
        <w:t>-</w:t>
      </w:r>
      <w:r w:rsidRPr="002762DE">
        <w:rPr>
          <w:rFonts w:cs="Arial"/>
        </w:rPr>
        <w:t xml:space="preserve">subordonné, </w:t>
      </w:r>
      <w:r>
        <w:rPr>
          <w:rFonts w:cs="Arial"/>
        </w:rPr>
        <w:t>entre</w:t>
      </w:r>
      <w:r w:rsidRPr="002762DE">
        <w:rPr>
          <w:rFonts w:cs="Arial"/>
        </w:rPr>
        <w:t xml:space="preserve"> les gestionnaires de </w:t>
      </w:r>
      <w:r>
        <w:rPr>
          <w:rFonts w:cs="Arial"/>
        </w:rPr>
        <w:t>divers niveaux</w:t>
      </w:r>
      <w:r w:rsidRPr="002762DE">
        <w:rPr>
          <w:rFonts w:cs="Arial"/>
        </w:rPr>
        <w:t xml:space="preserve"> hiérarchique</w:t>
      </w:r>
      <w:r>
        <w:rPr>
          <w:rFonts w:cs="Arial"/>
        </w:rPr>
        <w:t>s</w:t>
      </w:r>
      <w:r w:rsidRPr="002762DE">
        <w:rPr>
          <w:rFonts w:cs="Arial"/>
        </w:rPr>
        <w:t xml:space="preserve"> ou entre les collègues.</w:t>
      </w:r>
    </w:p>
    <w:p w14:paraId="7BDC2666" w14:textId="77777777" w:rsidR="00A723B7" w:rsidRPr="002762DE" w:rsidRDefault="00A723B7" w:rsidP="00A723B7">
      <w:pPr>
        <w:rPr>
          <w:rFonts w:cs="Arial"/>
        </w:rPr>
      </w:pPr>
      <w:r w:rsidRPr="002762DE">
        <w:rPr>
          <w:rFonts w:cs="Arial"/>
        </w:rPr>
        <w:t xml:space="preserve">Les superviseurs </w:t>
      </w:r>
      <w:r>
        <w:rPr>
          <w:rFonts w:cs="Arial"/>
        </w:rPr>
        <w:t>ayant</w:t>
      </w:r>
      <w:r w:rsidRPr="002762DE">
        <w:rPr>
          <w:rFonts w:cs="Arial"/>
        </w:rPr>
        <w:t xml:space="preserve"> une approche</w:t>
      </w:r>
      <w:r>
        <w:rPr>
          <w:rFonts w:cs="Arial"/>
        </w:rPr>
        <w:t xml:space="preserve"> empreinte</w:t>
      </w:r>
      <w:r w:rsidRPr="002762DE">
        <w:rPr>
          <w:rFonts w:cs="Arial"/>
        </w:rPr>
        <w:t xml:space="preserve"> de sollicitude (et possédant </w:t>
      </w:r>
      <w:r>
        <w:rPr>
          <w:rFonts w:cs="Arial"/>
        </w:rPr>
        <w:t>d</w:t>
      </w:r>
      <w:r w:rsidRPr="002762DE">
        <w:rPr>
          <w:rFonts w:cs="Arial"/>
        </w:rPr>
        <w:t xml:space="preserve">es habiletés de coaching) constituent probablement les individus qui peuvent </w:t>
      </w:r>
      <w:r>
        <w:rPr>
          <w:rFonts w:cs="Arial"/>
        </w:rPr>
        <w:t xml:space="preserve">le </w:t>
      </w:r>
      <w:r w:rsidRPr="002762DE">
        <w:rPr>
          <w:rFonts w:cs="Arial"/>
        </w:rPr>
        <w:t xml:space="preserve">mieux gérer et améliorer le rendement </w:t>
      </w:r>
      <w:r>
        <w:rPr>
          <w:rFonts w:cs="Arial"/>
        </w:rPr>
        <w:t>au</w:t>
      </w:r>
      <w:r w:rsidRPr="002762DE">
        <w:rPr>
          <w:rFonts w:cs="Arial"/>
        </w:rPr>
        <w:t xml:space="preserve"> travail. Ils entretiennent de bonnes relations avec leurs subordonnés. </w:t>
      </w:r>
      <w:r>
        <w:rPr>
          <w:rFonts w:cs="Arial"/>
        </w:rPr>
        <w:t xml:space="preserve">Ils </w:t>
      </w:r>
      <w:r w:rsidRPr="002762DE">
        <w:rPr>
          <w:rFonts w:cs="Arial"/>
        </w:rPr>
        <w:t>se serv</w:t>
      </w:r>
      <w:r>
        <w:rPr>
          <w:rFonts w:cs="Arial"/>
        </w:rPr>
        <w:t>e</w:t>
      </w:r>
      <w:r w:rsidRPr="002762DE">
        <w:rPr>
          <w:rFonts w:cs="Arial"/>
        </w:rPr>
        <w:t xml:space="preserve">nt des évaluations de rendement pour </w:t>
      </w:r>
      <w:r>
        <w:rPr>
          <w:rFonts w:cs="Arial"/>
        </w:rPr>
        <w:t>accorder</w:t>
      </w:r>
      <w:r w:rsidRPr="002762DE">
        <w:rPr>
          <w:rFonts w:cs="Arial"/>
        </w:rPr>
        <w:t xml:space="preserve"> des récompenses et des avantages à leurs subordonnés (et à eux</w:t>
      </w:r>
      <w:r>
        <w:rPr>
          <w:rFonts w:cs="Arial"/>
        </w:rPr>
        <w:t>-mêmes</w:t>
      </w:r>
      <w:r w:rsidRPr="002762DE">
        <w:rPr>
          <w:rFonts w:cs="Arial"/>
        </w:rPr>
        <w:t>), fidélis</w:t>
      </w:r>
      <w:r>
        <w:rPr>
          <w:rFonts w:cs="Arial"/>
        </w:rPr>
        <w:t>e</w:t>
      </w:r>
      <w:r w:rsidRPr="002762DE">
        <w:rPr>
          <w:rFonts w:cs="Arial"/>
        </w:rPr>
        <w:t xml:space="preserve">nt leur personnel et insufflent le sens des obligations mutuelles. </w:t>
      </w:r>
      <w:r>
        <w:rPr>
          <w:rFonts w:cs="Arial"/>
        </w:rPr>
        <w:t>Ce faisant, ils</w:t>
      </w:r>
      <w:r w:rsidRPr="002762DE">
        <w:rPr>
          <w:rFonts w:cs="Arial"/>
        </w:rPr>
        <w:t xml:space="preserve"> constateront probablement de véritables améliorations du rendement au travail.</w:t>
      </w:r>
    </w:p>
    <w:p w14:paraId="47BA14DC" w14:textId="77777777" w:rsidR="00A723B7" w:rsidRPr="002762DE" w:rsidRDefault="00A723B7" w:rsidP="00A723B7">
      <w:pPr>
        <w:pStyle w:val="Titre4"/>
      </w:pPr>
      <w:r w:rsidRPr="002762DE">
        <w:t>2. D’après vous, quelles sont les dimensions de la réceptivité de l’employé à l’égard de la rétroaction ? Comment peut-on améliorer cette réceptivité ?</w:t>
      </w:r>
    </w:p>
    <w:p w14:paraId="48BF14DD" w14:textId="77777777" w:rsidR="00A723B7" w:rsidRPr="002762DE" w:rsidRDefault="00A723B7" w:rsidP="00A723B7">
      <w:r w:rsidRPr="002762DE">
        <w:t>Parmi les dimensions pertinentes de la réceptivité à l’égard de la rétroaction, notons : (1)</w:t>
      </w:r>
      <w:r>
        <w:t> </w:t>
      </w:r>
      <w:r w:rsidRPr="002762DE">
        <w:t>la facilité à solliciter de la rétroaction</w:t>
      </w:r>
      <w:r>
        <w:t> </w:t>
      </w:r>
      <w:r w:rsidRPr="002762DE">
        <w:rPr>
          <w:iCs/>
        </w:rPr>
        <w:t>; (2)</w:t>
      </w:r>
      <w:r>
        <w:rPr>
          <w:iCs/>
        </w:rPr>
        <w:t> </w:t>
      </w:r>
      <w:r w:rsidRPr="002762DE">
        <w:rPr>
          <w:iCs/>
        </w:rPr>
        <w:t>l</w:t>
      </w:r>
      <w:r w:rsidRPr="002762DE">
        <w:t>a facilité à bien comprendre</w:t>
      </w:r>
      <w:r>
        <w:t xml:space="preserve"> la rétroaction, à se l</w:t>
      </w:r>
      <w:r w:rsidRPr="002762DE">
        <w:t>’approprier et à intégrer les commentaires reçus</w:t>
      </w:r>
      <w:r>
        <w:t> </w:t>
      </w:r>
      <w:r w:rsidRPr="002762DE">
        <w:rPr>
          <w:iCs/>
        </w:rPr>
        <w:t>; (3)</w:t>
      </w:r>
      <w:r>
        <w:rPr>
          <w:iCs/>
        </w:rPr>
        <w:t> </w:t>
      </w:r>
      <w:r w:rsidRPr="002762DE">
        <w:t xml:space="preserve">la sensibilité </w:t>
      </w:r>
      <w:r>
        <w:t>à</w:t>
      </w:r>
      <w:r w:rsidRPr="002762DE">
        <w:t xml:space="preserve"> l’image de soi dans le regard des autres</w:t>
      </w:r>
      <w:r>
        <w:t> </w:t>
      </w:r>
      <w:r w:rsidRPr="002762DE">
        <w:rPr>
          <w:iCs/>
        </w:rPr>
        <w:t>; (4)</w:t>
      </w:r>
      <w:r>
        <w:rPr>
          <w:i/>
          <w:iCs/>
        </w:rPr>
        <w:t> </w:t>
      </w:r>
      <w:r w:rsidRPr="002762DE">
        <w:t>la c</w:t>
      </w:r>
      <w:r>
        <w:t>onfiance dans le fait que la</w:t>
      </w:r>
      <w:r w:rsidRPr="002762DE">
        <w:t xml:space="preserve"> rétroaction est utile, pertinente et de qualité</w:t>
      </w:r>
      <w:r>
        <w:t xml:space="preserve"> ; </w:t>
      </w:r>
      <w:r w:rsidRPr="002762DE">
        <w:t>et</w:t>
      </w:r>
      <w:r>
        <w:t xml:space="preserve"> </w:t>
      </w:r>
      <w:r w:rsidRPr="002762DE">
        <w:t>(5)</w:t>
      </w:r>
      <w:r>
        <w:t> </w:t>
      </w:r>
      <w:r w:rsidRPr="002762DE">
        <w:t>le sentiment de pouvoir agir sur ses comportements e</w:t>
      </w:r>
      <w:r>
        <w:t xml:space="preserve">t ses </w:t>
      </w:r>
      <w:r w:rsidRPr="002762DE">
        <w:t>résultats au travail à la lumière de la rétroaction.</w:t>
      </w:r>
      <w:r w:rsidRPr="002762DE">
        <w:rPr>
          <w:iCs/>
        </w:rPr>
        <w:t xml:space="preserve"> </w:t>
      </w:r>
    </w:p>
    <w:p w14:paraId="65902D10" w14:textId="77777777" w:rsidR="00A723B7" w:rsidRPr="002762DE" w:rsidRDefault="00A723B7" w:rsidP="00A723B7">
      <w:r w:rsidRPr="002762DE">
        <w:t xml:space="preserve">Pour améliorer la réceptivité des employés à l’égard de la rétroaction, </w:t>
      </w:r>
      <w:r>
        <w:t>on</w:t>
      </w:r>
      <w:r w:rsidRPr="002762DE">
        <w:t xml:space="preserve"> doit </w:t>
      </w:r>
      <w:r>
        <w:t>instaurer</w:t>
      </w:r>
      <w:r w:rsidRPr="002762DE">
        <w:t xml:space="preserve"> un contexte </w:t>
      </w:r>
      <w:r w:rsidRPr="002556B9">
        <w:t xml:space="preserve">d’évaluation et de gestion du rendement </w:t>
      </w:r>
      <w:r w:rsidRPr="002762DE">
        <w:t>sécuritaire</w:t>
      </w:r>
      <w:r>
        <w:t xml:space="preserve">, </w:t>
      </w:r>
      <w:r w:rsidRPr="002762DE">
        <w:t xml:space="preserve">sans conséquences négatives pour le superviseur et le subordonné. Plutôt que de se concentrer sur les écarts entre la performance au travail et les attentes du superviseur (ou de l’organisation), </w:t>
      </w:r>
      <w:r>
        <w:t xml:space="preserve">on s’efforcera </w:t>
      </w:r>
      <w:r w:rsidRPr="002762DE">
        <w:t xml:space="preserve">d’explorer et de comprendre les facteurs organisationnels et individuels </w:t>
      </w:r>
      <w:r>
        <w:t xml:space="preserve">qui sont </w:t>
      </w:r>
      <w:r w:rsidRPr="002762DE">
        <w:t xml:space="preserve">à la source de </w:t>
      </w:r>
      <w:r>
        <w:t xml:space="preserve">ces </w:t>
      </w:r>
      <w:r w:rsidRPr="002762DE">
        <w:t>écart</w:t>
      </w:r>
      <w:r>
        <w:t>s</w:t>
      </w:r>
      <w:r w:rsidRPr="002762DE">
        <w:t xml:space="preserve"> (et </w:t>
      </w:r>
      <w:r>
        <w:t>on évitera d’</w:t>
      </w:r>
      <w:r w:rsidRPr="002762DE">
        <w:t xml:space="preserve">appliquer systématiquement des sanctions).  </w:t>
      </w:r>
    </w:p>
    <w:p w14:paraId="671DA34A" w14:textId="77777777" w:rsidR="00A723B7" w:rsidRPr="002762DE" w:rsidRDefault="00A723B7" w:rsidP="00A723B7">
      <w:r w:rsidRPr="002762DE">
        <w:t xml:space="preserve">Le plan d’action vise à faire confiance aux ressources personnelles et professionnelles de l’employé dans l’amélioration du rendement. </w:t>
      </w:r>
      <w:r>
        <w:t xml:space="preserve">Il </w:t>
      </w:r>
      <w:r w:rsidRPr="002762DE">
        <w:t xml:space="preserve">permet donc de </w:t>
      </w:r>
      <w:r>
        <w:t xml:space="preserve">bonifier </w:t>
      </w:r>
      <w:r w:rsidRPr="002762DE">
        <w:t>le sentiment d’efficacité personnelle de l’employé</w:t>
      </w:r>
      <w:r>
        <w:t>, c’est-à-dire sa confiance en s</w:t>
      </w:r>
      <w:r w:rsidRPr="002762DE">
        <w:t>a capacité de</w:t>
      </w:r>
      <w:r>
        <w:t xml:space="preserve"> mener</w:t>
      </w:r>
      <w:r w:rsidRPr="002762DE">
        <w:t xml:space="preserve"> une série d’actions dans le but d’atteindre un objectif précis.</w:t>
      </w:r>
    </w:p>
    <w:p w14:paraId="770E3DF9" w14:textId="77777777" w:rsidR="00A723B7" w:rsidRPr="002762DE" w:rsidRDefault="00A723B7" w:rsidP="00A723B7">
      <w:r w:rsidRPr="002762DE">
        <w:t>L</w:t>
      </w:r>
      <w:r>
        <w:t xml:space="preserve">e </w:t>
      </w:r>
      <w:r w:rsidRPr="002762DE">
        <w:t xml:space="preserve">superviseur </w:t>
      </w:r>
      <w:r>
        <w:t>se préoccupera en outre</w:t>
      </w:r>
      <w:r w:rsidRPr="002762DE">
        <w:t xml:space="preserve"> </w:t>
      </w:r>
      <w:r>
        <w:t xml:space="preserve">du </w:t>
      </w:r>
      <w:r w:rsidRPr="002762DE">
        <w:t xml:space="preserve">bien-être et </w:t>
      </w:r>
      <w:r>
        <w:t>du</w:t>
      </w:r>
      <w:r w:rsidRPr="002762DE">
        <w:t xml:space="preserve"> succès de l’employé. </w:t>
      </w:r>
      <w:r>
        <w:t xml:space="preserve">Il doit être un </w:t>
      </w:r>
      <w:r w:rsidRPr="002762DE">
        <w:t>leader qui maîtrise les habiletés de coaching</w:t>
      </w:r>
      <w:r>
        <w:t>, ainsi qu’</w:t>
      </w:r>
      <w:r w:rsidRPr="002762DE">
        <w:t xml:space="preserve">une source d’inspiration, d’influence positive et de soutien.  </w:t>
      </w:r>
    </w:p>
    <w:p w14:paraId="786C6F77" w14:textId="77777777" w:rsidR="00A723B7" w:rsidRPr="002762DE" w:rsidRDefault="00A723B7" w:rsidP="00A723B7">
      <w:pPr>
        <w:rPr>
          <w:rFonts w:asciiTheme="minorHAnsi" w:hAnsiTheme="minorHAnsi"/>
          <w:sz w:val="22"/>
          <w:szCs w:val="22"/>
        </w:rPr>
      </w:pPr>
      <w:r w:rsidRPr="002762DE">
        <w:rPr>
          <w:rFonts w:asciiTheme="minorHAnsi" w:hAnsiTheme="minorHAnsi"/>
          <w:sz w:val="22"/>
          <w:szCs w:val="22"/>
        </w:rPr>
        <w:lastRenderedPageBreak/>
        <w:t xml:space="preserve">L’ensemble de ces conditions permet d’accroître la réceptivité de l’employé à l’égard de la rétroaction. L’employé réceptif possède une facilité à solliciter </w:t>
      </w:r>
      <w:r>
        <w:rPr>
          <w:rFonts w:asciiTheme="minorHAnsi" w:hAnsiTheme="minorHAnsi"/>
          <w:sz w:val="22"/>
          <w:szCs w:val="22"/>
        </w:rPr>
        <w:t>son</w:t>
      </w:r>
      <w:r w:rsidRPr="002762DE">
        <w:rPr>
          <w:rFonts w:asciiTheme="minorHAnsi" w:hAnsiTheme="minorHAnsi"/>
          <w:sz w:val="22"/>
          <w:szCs w:val="22"/>
        </w:rPr>
        <w:t xml:space="preserve"> superviseur et </w:t>
      </w:r>
      <w:r>
        <w:rPr>
          <w:rFonts w:asciiTheme="minorHAnsi" w:hAnsiTheme="minorHAnsi"/>
          <w:sz w:val="22"/>
          <w:szCs w:val="22"/>
        </w:rPr>
        <w:t>l</w:t>
      </w:r>
      <w:r w:rsidRPr="002762DE">
        <w:rPr>
          <w:rFonts w:asciiTheme="minorHAnsi" w:hAnsiTheme="minorHAnsi"/>
          <w:sz w:val="22"/>
          <w:szCs w:val="22"/>
        </w:rPr>
        <w:t>es collègues qu’il juge aptes à lui offrir de la rétroaction pertinente afin d’accroître sa performance au travail. Il est également disposé à comprendre la portée de la rétroaction de manière à modifier ses comportements et ses résultats</w:t>
      </w:r>
      <w:r>
        <w:rPr>
          <w:rFonts w:asciiTheme="minorHAnsi" w:hAnsiTheme="minorHAnsi"/>
          <w:sz w:val="22"/>
          <w:szCs w:val="22"/>
        </w:rPr>
        <w:t xml:space="preserve"> </w:t>
      </w:r>
      <w:r w:rsidRPr="002762DE">
        <w:rPr>
          <w:rFonts w:asciiTheme="minorHAnsi" w:hAnsiTheme="minorHAnsi"/>
          <w:sz w:val="22"/>
          <w:szCs w:val="22"/>
        </w:rPr>
        <w:t xml:space="preserve">en fonction des attentes organisationnelles et </w:t>
      </w:r>
      <w:r>
        <w:rPr>
          <w:rFonts w:asciiTheme="minorHAnsi" w:hAnsiTheme="minorHAnsi"/>
          <w:sz w:val="22"/>
          <w:szCs w:val="22"/>
        </w:rPr>
        <w:t xml:space="preserve">de </w:t>
      </w:r>
      <w:r w:rsidRPr="002762DE">
        <w:rPr>
          <w:rFonts w:asciiTheme="minorHAnsi" w:hAnsiTheme="minorHAnsi"/>
          <w:sz w:val="22"/>
          <w:szCs w:val="22"/>
        </w:rPr>
        <w:t xml:space="preserve">celles du superviseur. </w:t>
      </w:r>
      <w:r>
        <w:rPr>
          <w:rFonts w:asciiTheme="minorHAnsi" w:hAnsiTheme="minorHAnsi"/>
          <w:sz w:val="22"/>
          <w:szCs w:val="22"/>
        </w:rPr>
        <w:t xml:space="preserve">Bref, il suit </w:t>
      </w:r>
      <w:r w:rsidRPr="002762DE">
        <w:rPr>
          <w:rFonts w:asciiTheme="minorHAnsi" w:hAnsiTheme="minorHAnsi"/>
          <w:sz w:val="22"/>
          <w:szCs w:val="22"/>
        </w:rPr>
        <w:t xml:space="preserve">une approche de développement de sa performance. </w:t>
      </w:r>
    </w:p>
    <w:p w14:paraId="72FD2BBA" w14:textId="77777777" w:rsidR="00A723B7" w:rsidRPr="002762DE" w:rsidRDefault="00A723B7" w:rsidP="00A723B7">
      <w:r w:rsidRPr="002762DE">
        <w:t>Les employés récepti</w:t>
      </w:r>
      <w:r>
        <w:t xml:space="preserve">fs </w:t>
      </w:r>
      <w:r w:rsidRPr="002762DE">
        <w:t xml:space="preserve">à l’égard de la rétroaction sont davantage en mesure de reconnaître et d’apprécier la valeur de </w:t>
      </w:r>
      <w:r>
        <w:t>celle-ci</w:t>
      </w:r>
      <w:r w:rsidRPr="002762DE">
        <w:t xml:space="preserve">. Ils </w:t>
      </w:r>
      <w:r>
        <w:t xml:space="preserve">la </w:t>
      </w:r>
      <w:r w:rsidRPr="002762DE">
        <w:t>perçoivent comme un levier leur permettant d’avoir une meilleure connaissance de leur efficacité personnelle et de bénéficier d’une o</w:t>
      </w:r>
      <w:r>
        <w:t>ccasion</w:t>
      </w:r>
      <w:r w:rsidRPr="002762DE">
        <w:t xml:space="preserve"> de s’améliorer. </w:t>
      </w:r>
      <w:r>
        <w:t>De plus, ils témoignent d’</w:t>
      </w:r>
      <w:r w:rsidRPr="002762DE">
        <w:t xml:space="preserve">un besoin d’apprentissage constant et </w:t>
      </w:r>
      <w:r>
        <w:t>d’</w:t>
      </w:r>
      <w:r w:rsidRPr="002762DE">
        <w:t xml:space="preserve">un désir important de développement de </w:t>
      </w:r>
      <w:r>
        <w:t xml:space="preserve">leurs </w:t>
      </w:r>
      <w:r w:rsidRPr="002762DE">
        <w:t>compétences</w:t>
      </w:r>
      <w:r>
        <w:t>.</w:t>
      </w:r>
      <w:r w:rsidRPr="002762DE">
        <w:t xml:space="preserve"> En somme, la réceptivité à l’égard de la rétroaction occupe une place </w:t>
      </w:r>
      <w:r>
        <w:t>prépondérante</w:t>
      </w:r>
      <w:r w:rsidRPr="002762DE">
        <w:t xml:space="preserve">, car elle détermine les comportements à adopter et les résultats à produire </w:t>
      </w:r>
      <w:r>
        <w:t xml:space="preserve">au cours </w:t>
      </w:r>
      <w:r w:rsidRPr="002762DE">
        <w:t xml:space="preserve">du processus de gestion du rendement. </w:t>
      </w:r>
    </w:p>
    <w:p w14:paraId="75837661" w14:textId="77777777" w:rsidR="00A723B7" w:rsidRPr="002762DE" w:rsidRDefault="00A723B7" w:rsidP="00A723B7">
      <w:r w:rsidRPr="002762DE">
        <w:rPr>
          <w:rFonts w:eastAsia="SimSun"/>
          <w:lang w:eastAsia="zh-CN"/>
        </w:rPr>
        <w:t>L</w:t>
      </w:r>
      <w:r w:rsidRPr="002762DE">
        <w:t xml:space="preserve">e soutien et le respect du superviseur ont un </w:t>
      </w:r>
      <w:r>
        <w:t xml:space="preserve">grand </w:t>
      </w:r>
      <w:r w:rsidRPr="002762DE">
        <w:t>impact sur la réceptivité à l’égard de la rétroaction et peuvent se traduire de plusieurs façons. Avant tout, il est important de recueillir le point de vue de</w:t>
      </w:r>
      <w:r>
        <w:t xml:space="preserve"> l’</w:t>
      </w:r>
      <w:r w:rsidRPr="002762DE">
        <w:t xml:space="preserve">employé concernant les moyens envisageables pour améliorer </w:t>
      </w:r>
      <w:r>
        <w:t>son</w:t>
      </w:r>
      <w:r w:rsidRPr="002762DE">
        <w:t xml:space="preserve"> rendement au travail. La documentation </w:t>
      </w:r>
      <w:r>
        <w:t>mentionne</w:t>
      </w:r>
      <w:r w:rsidRPr="002762DE">
        <w:t xml:space="preserve"> également</w:t>
      </w:r>
      <w:r>
        <w:t xml:space="preserve"> </w:t>
      </w:r>
      <w:proofErr w:type="gramStart"/>
      <w:r w:rsidRPr="002762DE">
        <w:t xml:space="preserve">la confiance </w:t>
      </w:r>
      <w:r>
        <w:t>régnant</w:t>
      </w:r>
      <w:proofErr w:type="gramEnd"/>
      <w:r>
        <w:t xml:space="preserve"> </w:t>
      </w:r>
      <w:r w:rsidRPr="002762DE">
        <w:t>entre le superviseur et l’employé. Afin d</w:t>
      </w:r>
      <w:r>
        <w:t>e l</w:t>
      </w:r>
      <w:r w:rsidRPr="002762DE">
        <w:t xml:space="preserve">’accroître, </w:t>
      </w:r>
      <w:r>
        <w:t xml:space="preserve">on doit mettre </w:t>
      </w:r>
      <w:r w:rsidRPr="002762DE">
        <w:t xml:space="preserve">la communication au centre de </w:t>
      </w:r>
      <w:r>
        <w:t>la</w:t>
      </w:r>
      <w:r w:rsidRPr="002762DE">
        <w:t xml:space="preserve"> relation. Un bon moyen </w:t>
      </w:r>
      <w:r>
        <w:t xml:space="preserve">de </w:t>
      </w:r>
      <w:r w:rsidRPr="002762DE">
        <w:t>bâtir cette confiance est d’agir avec transparence</w:t>
      </w:r>
      <w:r>
        <w:t xml:space="preserve"> et de considérer l’</w:t>
      </w:r>
      <w:r w:rsidRPr="002762DE">
        <w:t xml:space="preserve">employé </w:t>
      </w:r>
      <w:r>
        <w:t xml:space="preserve">comme un </w:t>
      </w:r>
      <w:r w:rsidRPr="002762DE">
        <w:t xml:space="preserve">partenaire dans l’atteinte d’objectifs communs. </w:t>
      </w:r>
    </w:p>
    <w:p w14:paraId="4F615229" w14:textId="77777777" w:rsidR="00A723B7" w:rsidRPr="002762DE" w:rsidRDefault="00A723B7" w:rsidP="00A723B7">
      <w:pPr>
        <w:pStyle w:val="Titre4"/>
        <w:rPr>
          <w:rFonts w:eastAsia="Calibri"/>
        </w:rPr>
      </w:pPr>
      <w:r w:rsidRPr="002762DE">
        <w:t xml:space="preserve">3. </w:t>
      </w:r>
      <w:r w:rsidRPr="002762DE">
        <w:rPr>
          <w:rFonts w:eastAsia="Calibri"/>
          <w:lang w:eastAsia="en-US"/>
        </w:rPr>
        <w:t>À partir de la documentation et de votre réflexion sur les enjeux en gestion du rendement, recommandez quelques orientations susceptibles de promouvoir une meilleure gestion du rendement dans les organisations.</w:t>
      </w:r>
    </w:p>
    <w:p w14:paraId="6399D086" w14:textId="77777777" w:rsidR="00A723B7" w:rsidRPr="005A424C" w:rsidRDefault="00A723B7" w:rsidP="00A723B7">
      <w:pPr>
        <w:pStyle w:val="Paragraphedeliste"/>
        <w:numPr>
          <w:ilvl w:val="0"/>
          <w:numId w:val="49"/>
        </w:numPr>
      </w:pPr>
      <w:r>
        <w:t>On doit a</w:t>
      </w:r>
      <w:r w:rsidRPr="005A424C">
        <w:t xml:space="preserve">ccepter </w:t>
      </w:r>
      <w:r>
        <w:t xml:space="preserve">le fait </w:t>
      </w:r>
      <w:r w:rsidRPr="005A424C">
        <w:t xml:space="preserve">qu’un employé ne sera jamais excellent </w:t>
      </w:r>
      <w:r>
        <w:t>dans</w:t>
      </w:r>
      <w:r w:rsidRPr="005A424C">
        <w:t xml:space="preserve"> l’ensemble des critères d’évaluation. </w:t>
      </w:r>
      <w:r>
        <w:t xml:space="preserve">Il </w:t>
      </w:r>
      <w:r w:rsidRPr="005A424C">
        <w:t>ne peut pas posséder 5</w:t>
      </w:r>
      <w:r>
        <w:t> </w:t>
      </w:r>
      <w:r w:rsidRPr="005A424C">
        <w:t>000</w:t>
      </w:r>
      <w:r>
        <w:t> </w:t>
      </w:r>
      <w:r w:rsidRPr="005A424C">
        <w:t>qualités personnelles et professionnelles dans le cadre de son travail</w:t>
      </w:r>
      <w:r>
        <w:t> </w:t>
      </w:r>
      <w:r w:rsidRPr="005A424C">
        <w:t xml:space="preserve">! </w:t>
      </w:r>
      <w:r>
        <w:t>Bref, i</w:t>
      </w:r>
      <w:r w:rsidRPr="005A424C">
        <w:t>l est humain et imparfait</w:t>
      </w:r>
      <w:r>
        <w:t>.</w:t>
      </w:r>
    </w:p>
    <w:p w14:paraId="1EE19885" w14:textId="77777777" w:rsidR="00A723B7" w:rsidRPr="005A424C" w:rsidRDefault="00A723B7" w:rsidP="00A723B7">
      <w:pPr>
        <w:pStyle w:val="Paragraphedeliste"/>
        <w:numPr>
          <w:ilvl w:val="0"/>
          <w:numId w:val="49"/>
        </w:numPr>
      </w:pPr>
      <w:r>
        <w:t>Il faut s</w:t>
      </w:r>
      <w:r w:rsidRPr="005A424C">
        <w:t xml:space="preserve">e concentrer sur l’usage optimal des forces </w:t>
      </w:r>
      <w:r>
        <w:t xml:space="preserve">de l’employé, </w:t>
      </w:r>
      <w:r w:rsidRPr="005A424C">
        <w:t>reconna</w:t>
      </w:r>
      <w:r>
        <w:t xml:space="preserve">ître ses </w:t>
      </w:r>
      <w:r w:rsidRPr="005A424C">
        <w:t>contribution</w:t>
      </w:r>
      <w:r>
        <w:t xml:space="preserve">s, être orienté </w:t>
      </w:r>
      <w:r w:rsidRPr="005A424C">
        <w:t xml:space="preserve">vers l’avenir </w:t>
      </w:r>
      <w:r>
        <w:t xml:space="preserve">et éviter de ne s’attarder que sur ses </w:t>
      </w:r>
      <w:r w:rsidRPr="005A424C">
        <w:t xml:space="preserve">lacunes ou </w:t>
      </w:r>
      <w:r>
        <w:t>s</w:t>
      </w:r>
      <w:r w:rsidRPr="005A424C">
        <w:t>es faiblesses.</w:t>
      </w:r>
    </w:p>
    <w:p w14:paraId="4FA4F91D" w14:textId="77777777" w:rsidR="00A723B7" w:rsidRPr="005A424C" w:rsidRDefault="00A723B7" w:rsidP="00A723B7">
      <w:pPr>
        <w:pStyle w:val="Paragraphedeliste"/>
        <w:numPr>
          <w:ilvl w:val="0"/>
          <w:numId w:val="49"/>
        </w:numPr>
      </w:pPr>
      <w:r>
        <w:t>On doit g</w:t>
      </w:r>
      <w:r w:rsidRPr="005A424C">
        <w:t>érer les conséquences de l’évaluation du rendement</w:t>
      </w:r>
      <w:r>
        <w:t>. L</w:t>
      </w:r>
      <w:r w:rsidRPr="005A424C">
        <w:t xml:space="preserve">e superviseur </w:t>
      </w:r>
      <w:r>
        <w:t>se fera</w:t>
      </w:r>
      <w:r w:rsidRPr="005A424C">
        <w:t xml:space="preserve"> bon «</w:t>
      </w:r>
      <w:r>
        <w:t> </w:t>
      </w:r>
      <w:r w:rsidRPr="005A424C">
        <w:t xml:space="preserve">politicien » afin de mesurer l’incidence de l’évaluation sur lui-même et </w:t>
      </w:r>
      <w:r>
        <w:t xml:space="preserve">sur </w:t>
      </w:r>
      <w:r w:rsidRPr="005A424C">
        <w:t xml:space="preserve">l’employé. </w:t>
      </w:r>
    </w:p>
    <w:p w14:paraId="06F59C5D" w14:textId="77777777" w:rsidR="00A723B7" w:rsidRPr="005A424C" w:rsidRDefault="00A723B7" w:rsidP="00A723B7">
      <w:pPr>
        <w:pStyle w:val="Paragraphedeliste"/>
        <w:numPr>
          <w:ilvl w:val="0"/>
          <w:numId w:val="49"/>
        </w:numPr>
      </w:pPr>
      <w:r>
        <w:t>On v</w:t>
      </w:r>
      <w:r w:rsidRPr="005A424C">
        <w:t>alider</w:t>
      </w:r>
      <w:r>
        <w:t>a</w:t>
      </w:r>
      <w:r w:rsidRPr="005A424C">
        <w:t xml:space="preserve"> l’évaluation du superviseur à </w:t>
      </w:r>
      <w:r>
        <w:t xml:space="preserve">l’aide </w:t>
      </w:r>
      <w:r w:rsidRPr="005A424C">
        <w:t>d’autres sources</w:t>
      </w:r>
      <w:r>
        <w:t xml:space="preserve">, car il </w:t>
      </w:r>
      <w:r w:rsidRPr="005A424C">
        <w:t>n’a pas toujours raison</w:t>
      </w:r>
      <w:r>
        <w:t>.</w:t>
      </w:r>
    </w:p>
    <w:p w14:paraId="177C528F" w14:textId="77777777" w:rsidR="00A723B7" w:rsidRPr="005A424C" w:rsidRDefault="00A723B7" w:rsidP="00A723B7">
      <w:pPr>
        <w:pStyle w:val="Paragraphedeliste"/>
        <w:numPr>
          <w:ilvl w:val="0"/>
          <w:numId w:val="49"/>
        </w:numPr>
      </w:pPr>
      <w:r>
        <w:t>On p</w:t>
      </w:r>
      <w:r w:rsidRPr="005A424C">
        <w:t>roposer</w:t>
      </w:r>
      <w:r>
        <w:t>a</w:t>
      </w:r>
      <w:r w:rsidRPr="005A424C">
        <w:t xml:space="preserve"> une formation fondée sur le développe</w:t>
      </w:r>
      <w:r>
        <w:t>ment de la capacité</w:t>
      </w:r>
      <w:r w:rsidRPr="005A424C">
        <w:t xml:space="preserve"> du superviseur à composer avec les exigences émotionnelles et interpersonnelles de l’évaluation du rendement. Une telle démarche permet de réduire l’inconfort des gestionnaires </w:t>
      </w:r>
      <w:r>
        <w:t xml:space="preserve">quant </w:t>
      </w:r>
      <w:r w:rsidRPr="005A424C">
        <w:t xml:space="preserve">à </w:t>
      </w:r>
      <w:r>
        <w:t xml:space="preserve">la transmission d’une </w:t>
      </w:r>
      <w:r w:rsidRPr="005A424C">
        <w:t>rétroaction négative ou critique</w:t>
      </w:r>
      <w:r>
        <w:t>.</w:t>
      </w:r>
    </w:p>
    <w:p w14:paraId="17780953" w14:textId="77777777" w:rsidR="00A723B7" w:rsidRPr="005A424C" w:rsidRDefault="00A723B7" w:rsidP="00A723B7">
      <w:pPr>
        <w:pStyle w:val="Paragraphedeliste"/>
        <w:numPr>
          <w:ilvl w:val="0"/>
          <w:numId w:val="49"/>
        </w:numPr>
      </w:pPr>
      <w:r>
        <w:t>On r</w:t>
      </w:r>
      <w:r w:rsidRPr="005A424C">
        <w:t>econna</w:t>
      </w:r>
      <w:r>
        <w:t>î</w:t>
      </w:r>
      <w:r w:rsidRPr="005A424C">
        <w:t>tr</w:t>
      </w:r>
      <w:r>
        <w:t>a</w:t>
      </w:r>
      <w:r w:rsidRPr="005A424C">
        <w:t xml:space="preserve"> que l’incidence positive de l’évaluation et de la gestion du rendement sur les attitudes, la motivation, l’engagement au travail, le bien-être des employés, les </w:t>
      </w:r>
      <w:r w:rsidRPr="005A424C">
        <w:lastRenderedPageBreak/>
        <w:t>comportements de citoyenneté organisationnelle, le dépassement de soi au travail</w:t>
      </w:r>
      <w:r>
        <w:t xml:space="preserve"> et</w:t>
      </w:r>
      <w:r w:rsidRPr="005A424C">
        <w:t xml:space="preserve"> l’amélioration de la performance des employés représente une démarche plus importante que la mesure de la qualité ou de la précision des évaluations. </w:t>
      </w:r>
      <w:r w:rsidRPr="00A723B7">
        <w:rPr>
          <w:color w:val="231F20"/>
        </w:rPr>
        <w:t>L’évaluation des subordonnés ne doit plus être vue exclusivement comme un processus de mesure du rendement (élimination des erreurs, rigueur absolue en matière de précision), mais aussi comme un processus social de communication.</w:t>
      </w:r>
    </w:p>
    <w:p w14:paraId="730A72AA" w14:textId="77777777" w:rsidR="00A723B7" w:rsidRPr="005A424C" w:rsidRDefault="00A723B7" w:rsidP="00A723B7">
      <w:pPr>
        <w:pStyle w:val="Paragraphedeliste"/>
        <w:numPr>
          <w:ilvl w:val="0"/>
          <w:numId w:val="49"/>
        </w:numPr>
      </w:pPr>
      <w:r>
        <w:t>Il faut r</w:t>
      </w:r>
      <w:r w:rsidRPr="005A424C">
        <w:t>écompenser les superviseurs qui participent activement au développement professionnel des employés en s’appuyant sur l’évaluation et la gestion du rendement.</w:t>
      </w:r>
    </w:p>
    <w:p w14:paraId="72DDE8D4" w14:textId="77777777" w:rsidR="00A723B7" w:rsidRPr="005A424C" w:rsidRDefault="00A723B7" w:rsidP="00A723B7">
      <w:pPr>
        <w:pStyle w:val="Paragraphedeliste"/>
        <w:numPr>
          <w:ilvl w:val="0"/>
          <w:numId w:val="49"/>
        </w:numPr>
      </w:pPr>
      <w:r>
        <w:t>On r</w:t>
      </w:r>
      <w:r w:rsidRPr="005A424C">
        <w:t>efuser</w:t>
      </w:r>
      <w:r>
        <w:t>a</w:t>
      </w:r>
      <w:r w:rsidRPr="005A424C">
        <w:t xml:space="preserve"> l’incompétence en milieu de travail (le cas échéant, </w:t>
      </w:r>
      <w:r>
        <w:t xml:space="preserve">on appliquera des </w:t>
      </w:r>
      <w:r w:rsidRPr="005A424C">
        <w:t>mesures non disciplinaires pour insuffisance professionnelle).</w:t>
      </w:r>
    </w:p>
    <w:p w14:paraId="4639FDA2" w14:textId="77777777" w:rsidR="00A723B7" w:rsidRPr="005A424C" w:rsidRDefault="00A723B7" w:rsidP="00A723B7">
      <w:pPr>
        <w:pStyle w:val="Paragraphedeliste"/>
        <w:numPr>
          <w:ilvl w:val="0"/>
          <w:numId w:val="49"/>
        </w:numPr>
      </w:pPr>
      <w:r>
        <w:t xml:space="preserve">On verra à ce que l’employé procède </w:t>
      </w:r>
      <w:r w:rsidRPr="005A424C">
        <w:t xml:space="preserve">à une appréciation exacte et à une introspection rigoureuse </w:t>
      </w:r>
      <w:r>
        <w:t xml:space="preserve">quant </w:t>
      </w:r>
      <w:r w:rsidRPr="005A424C">
        <w:t>à sa performance au travail (sans conséquence</w:t>
      </w:r>
      <w:r>
        <w:t>s</w:t>
      </w:r>
      <w:r w:rsidRPr="005A424C">
        <w:t xml:space="preserve"> négative</w:t>
      </w:r>
      <w:r>
        <w:t>s</w:t>
      </w:r>
      <w:r w:rsidRPr="005A424C">
        <w:t>).</w:t>
      </w:r>
    </w:p>
    <w:p w14:paraId="39C409FE" w14:textId="77777777" w:rsidR="00A723B7" w:rsidRPr="005A424C" w:rsidRDefault="00A723B7" w:rsidP="00A723B7">
      <w:pPr>
        <w:pStyle w:val="Paragraphedeliste"/>
        <w:numPr>
          <w:ilvl w:val="0"/>
          <w:numId w:val="49"/>
        </w:numPr>
      </w:pPr>
      <w:r>
        <w:t>On i</w:t>
      </w:r>
      <w:r w:rsidRPr="005A424C">
        <w:t>mplanter</w:t>
      </w:r>
      <w:r>
        <w:t>a</w:t>
      </w:r>
      <w:r w:rsidRPr="005A424C">
        <w:t xml:space="preserve"> un environnement de rétroaction favorable et </w:t>
      </w:r>
      <w:r>
        <w:t>on encouragera la</w:t>
      </w:r>
      <w:r w:rsidRPr="005A424C">
        <w:t xml:space="preserve"> réceptivité des employés à l’égard de la rétroaction.</w:t>
      </w:r>
    </w:p>
    <w:p w14:paraId="30C01C75" w14:textId="77777777" w:rsidR="00A723B7" w:rsidRPr="005A424C" w:rsidRDefault="00A723B7" w:rsidP="00A723B7">
      <w:pPr>
        <w:pStyle w:val="Paragraphedeliste"/>
        <w:numPr>
          <w:ilvl w:val="0"/>
          <w:numId w:val="49"/>
        </w:numPr>
      </w:pPr>
      <w:r w:rsidRPr="005A424C">
        <w:t xml:space="preserve">En matière de gestion du rendement, </w:t>
      </w:r>
      <w:r>
        <w:t xml:space="preserve">on </w:t>
      </w:r>
      <w:r w:rsidRPr="005A424C">
        <w:t>rendr</w:t>
      </w:r>
      <w:r>
        <w:t>a</w:t>
      </w:r>
      <w:r w:rsidRPr="005A424C">
        <w:t xml:space="preserve"> le superviseur imputable à l’égard des subordonnés et de l’organisation </w:t>
      </w:r>
      <w:r>
        <w:t xml:space="preserve">en ce qui concerne les </w:t>
      </w:r>
      <w:r w:rsidRPr="005A424C">
        <w:t>retombées de l’évaluation</w:t>
      </w:r>
      <w:r>
        <w:t>.</w:t>
      </w:r>
      <w:r w:rsidRPr="005A424C">
        <w:t xml:space="preserve"> </w:t>
      </w:r>
    </w:p>
    <w:p w14:paraId="55107D68" w14:textId="77777777" w:rsidR="00A723B7" w:rsidRPr="005A424C" w:rsidRDefault="00A723B7" w:rsidP="00A723B7">
      <w:pPr>
        <w:pStyle w:val="Paragraphedeliste"/>
        <w:numPr>
          <w:ilvl w:val="0"/>
          <w:numId w:val="49"/>
        </w:numPr>
      </w:pPr>
      <w:r>
        <w:t xml:space="preserve">On fera </w:t>
      </w:r>
      <w:r w:rsidRPr="005A424C">
        <w:t xml:space="preserve">des cadres supérieurs </w:t>
      </w:r>
      <w:r>
        <w:t>des</w:t>
      </w:r>
      <w:r w:rsidRPr="005A424C">
        <w:t xml:space="preserve"> modèle</w:t>
      </w:r>
      <w:r>
        <w:t>s</w:t>
      </w:r>
      <w:r w:rsidRPr="005A424C">
        <w:t xml:space="preserve"> en matière d’évaluation et de gestion du rendement. Ils seront évalués rigoureusement sur leurs contributions et </w:t>
      </w:r>
      <w:r>
        <w:t xml:space="preserve">leurs </w:t>
      </w:r>
      <w:r w:rsidRPr="005A424C">
        <w:t xml:space="preserve">résultats. </w:t>
      </w:r>
    </w:p>
    <w:p w14:paraId="74A7F4DE" w14:textId="77777777" w:rsidR="00A723B7" w:rsidRPr="005A424C" w:rsidRDefault="00A723B7" w:rsidP="00A723B7">
      <w:pPr>
        <w:pStyle w:val="Paragraphedeliste"/>
        <w:numPr>
          <w:ilvl w:val="0"/>
          <w:numId w:val="49"/>
        </w:numPr>
      </w:pPr>
      <w:r>
        <w:t>On m</w:t>
      </w:r>
      <w:r w:rsidRPr="005A424C">
        <w:t>ontrer</w:t>
      </w:r>
      <w:r>
        <w:t>a</w:t>
      </w:r>
      <w:r w:rsidRPr="005A424C">
        <w:t xml:space="preserve"> que l’efficacité de la gestion du rendement est fonction de l’attitude positive des subordonnés à l’égard de la rétroaction, de la sollicitation à l’égard de </w:t>
      </w:r>
      <w:r>
        <w:t>celle-ci</w:t>
      </w:r>
      <w:r w:rsidRPr="005A424C">
        <w:t xml:space="preserve">, de leur motivation à répondre à la rétroaction formelle et informelle (modification des comportements et des résultats) ainsi que de leur </w:t>
      </w:r>
      <w:r>
        <w:t>engagement dans l’</w:t>
      </w:r>
      <w:r w:rsidRPr="005A424C">
        <w:t>amélior</w:t>
      </w:r>
      <w:r>
        <w:t xml:space="preserve">ation de </w:t>
      </w:r>
      <w:r w:rsidRPr="005A424C">
        <w:t>leur rendemen</w:t>
      </w:r>
      <w:r>
        <w:t>t</w:t>
      </w:r>
      <w:r w:rsidRPr="005A424C">
        <w:t>.</w:t>
      </w:r>
    </w:p>
    <w:p w14:paraId="6A69CCAD" w14:textId="77777777" w:rsidR="00A723B7" w:rsidRPr="005A424C" w:rsidRDefault="00A723B7" w:rsidP="00A723B7">
      <w:pPr>
        <w:pStyle w:val="Paragraphedeliste"/>
        <w:numPr>
          <w:ilvl w:val="0"/>
          <w:numId w:val="49"/>
        </w:numPr>
      </w:pPr>
      <w:r>
        <w:t xml:space="preserve">On tâchera </w:t>
      </w:r>
      <w:r w:rsidRPr="005A424C">
        <w:t xml:space="preserve">de distinguer les meilleurs employés des employés difficiles. La capacité à cibler les forces et les zones de développement des employés constitue </w:t>
      </w:r>
      <w:r>
        <w:t>un</w:t>
      </w:r>
      <w:r w:rsidRPr="005A424C">
        <w:t xml:space="preserve"> prédicteur de la précision des évaluations. L’attitude des subordonnés à l’égard de la rétroaction est fonction de l</w:t>
      </w:r>
      <w:r>
        <w:t>eur</w:t>
      </w:r>
      <w:r w:rsidRPr="005A424C">
        <w:t xml:space="preserve"> perception de </w:t>
      </w:r>
      <w:r>
        <w:t xml:space="preserve">cette </w:t>
      </w:r>
      <w:r w:rsidRPr="005A424C">
        <w:t>précision</w:t>
      </w:r>
      <w:r>
        <w:t xml:space="preserve"> ; en effet, </w:t>
      </w:r>
      <w:r w:rsidRPr="005A424C">
        <w:t>l’évaluation constitue une représentation précise de la performance au travail</w:t>
      </w:r>
      <w:r>
        <w:t>.</w:t>
      </w:r>
      <w:r w:rsidRPr="005A424C">
        <w:t xml:space="preserve"> </w:t>
      </w:r>
    </w:p>
    <w:p w14:paraId="77DDF591" w14:textId="77777777" w:rsidR="00A723B7" w:rsidRPr="005A424C" w:rsidRDefault="00A723B7" w:rsidP="00A723B7">
      <w:pPr>
        <w:pStyle w:val="Paragraphedeliste"/>
        <w:numPr>
          <w:ilvl w:val="0"/>
          <w:numId w:val="49"/>
        </w:numPr>
      </w:pPr>
      <w:r>
        <w:t>On é</w:t>
      </w:r>
      <w:r w:rsidRPr="005A424C">
        <w:t>valuer</w:t>
      </w:r>
      <w:r>
        <w:t>a</w:t>
      </w:r>
      <w:r w:rsidRPr="005A424C">
        <w:t xml:space="preserve"> les gestionnaires sur leur</w:t>
      </w:r>
      <w:r>
        <w:t>s</w:t>
      </w:r>
      <w:r w:rsidRPr="005A424C">
        <w:t xml:space="preserve"> habileté</w:t>
      </w:r>
      <w:r>
        <w:t>s</w:t>
      </w:r>
      <w:r w:rsidRPr="005A424C">
        <w:t xml:space="preserve"> de transmission et de gestion bienveillante de la rétroaction et </w:t>
      </w:r>
      <w:r>
        <w:t xml:space="preserve">sur </w:t>
      </w:r>
      <w:r w:rsidRPr="005A424C">
        <w:t>le rendement des employés (</w:t>
      </w:r>
      <w:r>
        <w:t xml:space="preserve">p. ex. : </w:t>
      </w:r>
      <w:r w:rsidRPr="005A424C">
        <w:t>au moyen d’un sondage de satisfaction auprès de</w:t>
      </w:r>
      <w:r>
        <w:t xml:space="preserve"> ceux-ci</w:t>
      </w:r>
      <w:r w:rsidRPr="005A424C">
        <w:t>).</w:t>
      </w:r>
    </w:p>
    <w:p w14:paraId="1922AB06" w14:textId="77777777" w:rsidR="00A723B7" w:rsidRPr="005A424C" w:rsidRDefault="00A723B7" w:rsidP="00A723B7">
      <w:pPr>
        <w:pStyle w:val="Paragraphedeliste"/>
        <w:numPr>
          <w:ilvl w:val="0"/>
          <w:numId w:val="49"/>
        </w:numPr>
      </w:pPr>
      <w:r w:rsidRPr="00A723B7">
        <w:rPr>
          <w:rFonts w:cs="Arial"/>
        </w:rPr>
        <w:t>On se souviendra que les commentaires informels et formels en matière de rétroaction ont plus de poids que la notation des évaluations. On observe d’ailleurs une augmentation de la fréquence de la rétroaction informelle et de la reconnaissance des employés au sein des organisations.</w:t>
      </w:r>
    </w:p>
    <w:p w14:paraId="6207B5A8" w14:textId="77777777" w:rsidR="00A723B7" w:rsidRPr="00A723B7" w:rsidRDefault="00A723B7" w:rsidP="00A723B7">
      <w:pPr>
        <w:pStyle w:val="Paragraphedeliste"/>
        <w:numPr>
          <w:ilvl w:val="0"/>
          <w:numId w:val="49"/>
        </w:numPr>
        <w:rPr>
          <w:rFonts w:cs="Arial"/>
        </w:rPr>
      </w:pPr>
      <w:r w:rsidRPr="00A723B7">
        <w:rPr>
          <w:rFonts w:cs="Arial"/>
        </w:rPr>
        <w:t xml:space="preserve">On notera que le programme de formation des évaluateurs cherche à remplacer les normes personnelles de ces derniers par un modèle qui définit des normes standardisées illustrant les différents niveaux de performance (supérieur, satisfaisant, insatisfaisant). Ce programme s’appuie sur une démarche pédagogique de nature interactive. En effet, il incorpore la séquence pratique-rétroaction afin de favoriser une acceptation et une compréhension des normes à l’origine du modèle normalisé de la </w:t>
      </w:r>
      <w:r w:rsidRPr="00A723B7">
        <w:rPr>
          <w:rFonts w:cs="Arial"/>
        </w:rPr>
        <w:lastRenderedPageBreak/>
        <w:t>performance. En s’appuyant sur ce modèle, le formateur réalise les activités suivantes : (1) il discute de l’importance de considérer à la fois les facteurs organisationnels et les facteurs individuels au moment de l’évaluation du rendement ; (2) les évaluateurs discutent du poids relatif de la performance associée à la tâche par rapport aux comportements de citoyenneté organisationnelle (facilitation interpersonnelle, valorisation des normes organisationnelles) au cours de l’évaluation des subordonnés ; et (3) le formateur définit la nature, l’amplitude et l’effet (limité, modéré, important) des contraintes et des facilitateurs individuels et organisationnels de la performance. </w:t>
      </w:r>
    </w:p>
    <w:p w14:paraId="5CD0DBE0" w14:textId="77777777" w:rsidR="00A723B7" w:rsidRPr="00A723B7" w:rsidRDefault="00A723B7" w:rsidP="00A723B7">
      <w:pPr>
        <w:pStyle w:val="Paragraphedeliste"/>
        <w:numPr>
          <w:ilvl w:val="0"/>
          <w:numId w:val="49"/>
        </w:numPr>
        <w:rPr>
          <w:rFonts w:cs="Arial"/>
        </w:rPr>
      </w:pPr>
      <w:r w:rsidRPr="00A723B7">
        <w:rPr>
          <w:rFonts w:cs="Arial"/>
        </w:rPr>
        <w:t>On notera que la crédibilité de la rétroaction, la perception de précision des évaluations (capacité de distinguer les meilleurs employés de ceux qui manifestent une insuffisance sur le plan professionnel, aptitude à définir les zones de développement des subordonnés), la réceptivité des subordonnés par rapport à la rétroaction, la perception de justice procédurale, distributive et interpersonnelle, la sollicitation de la rétroaction, la motivation des gestionnaires à s’engager activement dans la gestion du rendement individuel et des équipes de travail constituent des indicateurs pertinents de l’efficacité de l’évaluation et de la gestion du rendement.</w:t>
      </w:r>
    </w:p>
    <w:p w14:paraId="53900527" w14:textId="77777777" w:rsidR="00A723B7" w:rsidRPr="002762DE" w:rsidRDefault="00A723B7" w:rsidP="00A723B7">
      <w:pPr>
        <w:pStyle w:val="Titre4"/>
      </w:pPr>
      <w:r w:rsidRPr="002762DE">
        <w:t xml:space="preserve">4. Selon vous, y a-t-il réellement des différences individuelles importantes en matière de rendement au travail chez les </w:t>
      </w:r>
      <w:r>
        <w:t>membres</w:t>
      </w:r>
      <w:r w:rsidRPr="002762DE">
        <w:t xml:space="preserve"> d’une équipe</w:t>
      </w:r>
      <w:r>
        <w:t> </w:t>
      </w:r>
      <w:r w:rsidRPr="002762DE">
        <w:t>? Dans quelle mesure le rendement individuel au travail s’appuie-t-il sur une courbe normale de performance ?</w:t>
      </w:r>
    </w:p>
    <w:p w14:paraId="57228EC5" w14:textId="77777777" w:rsidR="00A723B7" w:rsidRPr="002762DE" w:rsidRDefault="00A723B7" w:rsidP="00A723B7">
      <w:r w:rsidRPr="002762DE">
        <w:t xml:space="preserve">Il peut </w:t>
      </w:r>
      <w:r>
        <w:t>exister</w:t>
      </w:r>
      <w:r w:rsidRPr="002762DE">
        <w:t xml:space="preserve"> des différences appréciables entre </w:t>
      </w:r>
      <w:r>
        <w:t xml:space="preserve">les employés sur le plan du </w:t>
      </w:r>
      <w:r w:rsidRPr="002762DE">
        <w:t xml:space="preserve">rendement. Toutefois, les études révèlent que la distribution du rendement en milieu organisationnel ne </w:t>
      </w:r>
      <w:r>
        <w:t>suit</w:t>
      </w:r>
      <w:r w:rsidRPr="002762DE">
        <w:t xml:space="preserve"> pas une courbe normale (</w:t>
      </w:r>
      <w:proofErr w:type="spellStart"/>
      <w:r w:rsidRPr="002762DE">
        <w:t>O’Boyle</w:t>
      </w:r>
      <w:proofErr w:type="spellEnd"/>
      <w:r w:rsidRPr="002762DE">
        <w:t xml:space="preserve"> et </w:t>
      </w:r>
      <w:proofErr w:type="spellStart"/>
      <w:r w:rsidRPr="002762DE">
        <w:t>Aguinis</w:t>
      </w:r>
      <w:proofErr w:type="spellEnd"/>
      <w:r w:rsidRPr="002762DE">
        <w:t xml:space="preserve">, 2012). </w:t>
      </w:r>
      <w:r>
        <w:t xml:space="preserve">Voici </w:t>
      </w:r>
      <w:r w:rsidRPr="002762DE">
        <w:t>quelques explications attest</w:t>
      </w:r>
      <w:r>
        <w:t>a</w:t>
      </w:r>
      <w:r w:rsidRPr="002762DE">
        <w:t>nt de la «</w:t>
      </w:r>
      <w:r>
        <w:t> </w:t>
      </w:r>
      <w:r w:rsidRPr="002762DE">
        <w:t>non-normalité</w:t>
      </w:r>
      <w:r>
        <w:t> </w:t>
      </w:r>
      <w:r w:rsidRPr="002762DE">
        <w:t xml:space="preserve">» de </w:t>
      </w:r>
      <w:r>
        <w:t>cette</w:t>
      </w:r>
      <w:r w:rsidRPr="002762DE">
        <w:t xml:space="preserve"> distributio</w:t>
      </w:r>
      <w:r>
        <w:t>n</w:t>
      </w:r>
      <w:r w:rsidRPr="002762DE">
        <w:t xml:space="preserve">. L’implantation minutieuse de </w:t>
      </w:r>
      <w:r>
        <w:t xml:space="preserve">certaines </w:t>
      </w:r>
      <w:r w:rsidRPr="002762DE">
        <w:t xml:space="preserve">pratiques en gestion des ressources humaines (sélection rigoureuse du personnel, développement des compétences, gestion efficace du rendement, style de supervision fondé sur le coaching et le congédiement des employés problématiques) encourage une distribution du rendement qui ne s‘apparente pas à une courbe normale. Il semble </w:t>
      </w:r>
      <w:r>
        <w:t xml:space="preserve">donc </w:t>
      </w:r>
      <w:r w:rsidRPr="002762DE">
        <w:t xml:space="preserve">pertinent de réviser nos conceptions en matière de distribution du rendement au travail. </w:t>
      </w:r>
      <w:r>
        <w:t>E</w:t>
      </w:r>
      <w:r w:rsidRPr="002762DE">
        <w:t>ssentiellement</w:t>
      </w:r>
      <w:r>
        <w:t xml:space="preserve">, </w:t>
      </w:r>
      <w:r w:rsidRPr="002762DE">
        <w:t>une proportion d’au plus 20</w:t>
      </w:r>
      <w:r>
        <w:t> </w:t>
      </w:r>
      <w:r w:rsidRPr="002762DE">
        <w:t xml:space="preserve">% des employés </w:t>
      </w:r>
      <w:r>
        <w:t xml:space="preserve">ont un </w:t>
      </w:r>
      <w:r w:rsidRPr="002762DE">
        <w:t xml:space="preserve">rendement réellement supérieur. Ces </w:t>
      </w:r>
      <w:r>
        <w:t>personnes</w:t>
      </w:r>
      <w:r w:rsidRPr="002762DE">
        <w:t xml:space="preserve"> talentueu</w:t>
      </w:r>
      <w:r>
        <w:t>ses</w:t>
      </w:r>
      <w:r w:rsidRPr="002762DE">
        <w:t xml:space="preserve"> ont une incidence significative sur les résultats de</w:t>
      </w:r>
      <w:r>
        <w:t>s</w:t>
      </w:r>
      <w:r w:rsidRPr="002762DE">
        <w:t xml:space="preserve"> équipe</w:t>
      </w:r>
      <w:r>
        <w:t>s</w:t>
      </w:r>
      <w:r w:rsidRPr="002762DE">
        <w:t xml:space="preserve"> de travail. </w:t>
      </w:r>
      <w:r>
        <w:t xml:space="preserve">Par ailleurs, la plupart des </w:t>
      </w:r>
      <w:r w:rsidRPr="002762DE">
        <w:t xml:space="preserve">employés </w:t>
      </w:r>
      <w:r>
        <w:t>ont</w:t>
      </w:r>
      <w:r w:rsidRPr="002762DE">
        <w:t xml:space="preserve"> un rendement satisfaisant. Il n’y a pas d’employés médiocres</w:t>
      </w:r>
      <w:r>
        <w:t xml:space="preserve">, car </w:t>
      </w:r>
      <w:r w:rsidRPr="002762DE">
        <w:t>les superviseurs interviennent rapidement et convenablement pour gérer les cas probl</w:t>
      </w:r>
      <w:r>
        <w:t>é</w:t>
      </w:r>
      <w:r w:rsidRPr="002762DE">
        <w:t>m</w:t>
      </w:r>
      <w:r>
        <w:t>atiqu</w:t>
      </w:r>
      <w:r w:rsidRPr="002762DE">
        <w:t xml:space="preserve">es.  </w:t>
      </w:r>
    </w:p>
    <w:p w14:paraId="63CC0118" w14:textId="77777777" w:rsidR="00A723B7" w:rsidRPr="002762DE" w:rsidRDefault="00A723B7" w:rsidP="00A723B7">
      <w:r w:rsidRPr="002762DE">
        <w:t xml:space="preserve">La réflexion sur la distribution du rendement au travail permet également de souligner la complexité </w:t>
      </w:r>
      <w:r>
        <w:t xml:space="preserve">associée au fait </w:t>
      </w:r>
      <w:r w:rsidRPr="002762DE">
        <w:t xml:space="preserve">d’accroître significativement le niveau de rendement des employés. En effet, le rendement individuel demeure relativement constant durant la carrière. Il est </w:t>
      </w:r>
      <w:r>
        <w:t>rare</w:t>
      </w:r>
      <w:r w:rsidRPr="002762DE">
        <w:t xml:space="preserve"> d’observer des changements majeurs en matière de rendement individuel pendant la trajectoire professionnelle. L’amélioration du rendement demeure modeste. À l’aide de l’évaluation du rendement, il est judicieux de valoriser davantage l’engagement au travail.</w:t>
      </w:r>
    </w:p>
    <w:p w14:paraId="2452D448" w14:textId="77777777" w:rsidR="00A723B7" w:rsidRPr="002762DE" w:rsidRDefault="00A723B7" w:rsidP="00A723B7">
      <w:r w:rsidRPr="002762DE">
        <w:lastRenderedPageBreak/>
        <w:t xml:space="preserve">Par conséquent, il est préférable de se concentrer </w:t>
      </w:r>
      <w:r>
        <w:t>sur</w:t>
      </w:r>
      <w:r w:rsidRPr="002762DE">
        <w:t xml:space="preserve"> l’appréciation des contributions distinctives </w:t>
      </w:r>
      <w:r>
        <w:t>d</w:t>
      </w:r>
      <w:r w:rsidRPr="002762DE">
        <w:t>es employés (sous la forme d</w:t>
      </w:r>
      <w:r>
        <w:t>’une</w:t>
      </w:r>
      <w:r w:rsidRPr="002762DE">
        <w:t xml:space="preserve"> reconnaissance non </w:t>
      </w:r>
      <w:r>
        <w:t>financière</w:t>
      </w:r>
      <w:r w:rsidRPr="002762DE">
        <w:t xml:space="preserve">). Par ailleurs, </w:t>
      </w:r>
      <w:r>
        <w:t xml:space="preserve">selon </w:t>
      </w:r>
      <w:r w:rsidRPr="002762DE">
        <w:t>les études</w:t>
      </w:r>
      <w:r>
        <w:t xml:space="preserve">, </w:t>
      </w:r>
      <w:r w:rsidRPr="002762DE">
        <w:t>les décisions en matière de rémunération variable (p. ex. : primes) fondées sur l’évaluation ne favorisent pas nécessairement la collaboration et l’esprit d’équipe (Murphy, 2020).</w:t>
      </w:r>
    </w:p>
    <w:p w14:paraId="18A68A7A" w14:textId="77777777" w:rsidR="00A723B7" w:rsidRPr="002762DE" w:rsidRDefault="00A723B7" w:rsidP="00A723B7">
      <w:r w:rsidRPr="002762DE">
        <w:t xml:space="preserve">À la lumière de ces postulats scientifiques, </w:t>
      </w:r>
      <w:r>
        <w:t>on peut affirmer qu’</w:t>
      </w:r>
      <w:r w:rsidRPr="002762DE">
        <w:t xml:space="preserve">il n’est pas nécessaire de </w:t>
      </w:r>
      <w:r>
        <w:t>concevoir</w:t>
      </w:r>
      <w:r w:rsidRPr="002762DE">
        <w:t xml:space="preserve"> des systèmes complexes d’évaluation et de gestion du rendement. L’objectif fondamental de cette activité de gestion des ressources humaines est l’encadrement ou le coaching (</w:t>
      </w:r>
      <w:r>
        <w:t xml:space="preserve">pour accroître </w:t>
      </w:r>
      <w:r w:rsidRPr="002762DE">
        <w:t>le sentiment d’efficacité personnelle de l’employé et amélior</w:t>
      </w:r>
      <w:r>
        <w:t xml:space="preserve">er son </w:t>
      </w:r>
      <w:r w:rsidRPr="002762DE">
        <w:t>estime de soi en fonction de son succès professionnel) et la considération (reconnaissance informelle et formelle).</w:t>
      </w:r>
    </w:p>
    <w:p w14:paraId="4CAE737C" w14:textId="77777777" w:rsidR="008D0D74" w:rsidRPr="0076489C" w:rsidRDefault="008D0D74" w:rsidP="008D0D74">
      <w:pPr>
        <w:pStyle w:val="Titre2"/>
        <w:spacing w:before="240"/>
      </w:pPr>
      <w:r w:rsidRPr="0076489C">
        <w:rPr>
          <w:bdr w:val="none" w:sz="0" w:space="0" w:color="auto" w:frame="1"/>
        </w:rPr>
        <w:t>Références</w:t>
      </w:r>
    </w:p>
    <w:p w14:paraId="5B913164" w14:textId="77777777" w:rsidR="008D0D74" w:rsidRPr="0076489C" w:rsidRDefault="008D0D74" w:rsidP="008D0D74">
      <w:r w:rsidRPr="0076489C">
        <w:rPr>
          <w:bdr w:val="none" w:sz="0" w:space="0" w:color="auto" w:frame="1"/>
        </w:rPr>
        <w:t xml:space="preserve">Cleveland, J. N., Lim, A. S. et Murphy, K. R. (2007). </w:t>
      </w:r>
      <w:r w:rsidRPr="0076489C">
        <w:rPr>
          <w:bdr w:val="none" w:sz="0" w:space="0" w:color="auto" w:frame="1"/>
          <w:lang w:val="en-CA"/>
        </w:rPr>
        <w:t xml:space="preserve">Feedback </w:t>
      </w:r>
      <w:bookmarkStart w:id="0" w:name="_GoBack"/>
      <w:bookmarkEnd w:id="0"/>
      <w:r w:rsidRPr="0076489C">
        <w:rPr>
          <w:bdr w:val="none" w:sz="0" w:space="0" w:color="auto" w:frame="1"/>
          <w:lang w:val="en-CA"/>
        </w:rPr>
        <w:t xml:space="preserve">phobia? Why employees do not want to give or receive performance feedback. Dans J. </w:t>
      </w:r>
      <w:proofErr w:type="spellStart"/>
      <w:r w:rsidRPr="0076489C">
        <w:rPr>
          <w:bdr w:val="none" w:sz="0" w:space="0" w:color="auto" w:frame="1"/>
          <w:lang w:val="en-CA"/>
        </w:rPr>
        <w:t>Langan</w:t>
      </w:r>
      <w:proofErr w:type="spellEnd"/>
      <w:r w:rsidRPr="0076489C">
        <w:rPr>
          <w:bdr w:val="none" w:sz="0" w:space="0" w:color="auto" w:frame="1"/>
          <w:lang w:val="en-CA"/>
        </w:rPr>
        <w:t xml:space="preserve">-Fox, C. L. Cooper et R. J. </w:t>
      </w:r>
      <w:proofErr w:type="spellStart"/>
      <w:r w:rsidRPr="0076489C">
        <w:rPr>
          <w:bdr w:val="none" w:sz="0" w:space="0" w:color="auto" w:frame="1"/>
          <w:lang w:val="en-CA"/>
        </w:rPr>
        <w:t>Klimoski</w:t>
      </w:r>
      <w:proofErr w:type="spellEnd"/>
      <w:r w:rsidRPr="0076489C">
        <w:rPr>
          <w:bdr w:val="none" w:sz="0" w:space="0" w:color="auto" w:frame="1"/>
          <w:lang w:val="en-CA"/>
        </w:rPr>
        <w:t xml:space="preserve"> (</w:t>
      </w:r>
      <w:proofErr w:type="spellStart"/>
      <w:r w:rsidRPr="0076489C">
        <w:rPr>
          <w:bdr w:val="none" w:sz="0" w:space="0" w:color="auto" w:frame="1"/>
          <w:lang w:val="en-CA"/>
        </w:rPr>
        <w:t>éds</w:t>
      </w:r>
      <w:proofErr w:type="spellEnd"/>
      <w:r w:rsidRPr="0076489C">
        <w:rPr>
          <w:bdr w:val="none" w:sz="0" w:space="0" w:color="auto" w:frame="1"/>
          <w:lang w:val="en-CA"/>
        </w:rPr>
        <w:t>.), </w:t>
      </w:r>
      <w:r w:rsidRPr="0076489C">
        <w:rPr>
          <w:i/>
          <w:iCs/>
          <w:bdr w:val="none" w:sz="0" w:space="0" w:color="auto" w:frame="1"/>
          <w:lang w:val="en-CA"/>
        </w:rPr>
        <w:t>New horizons in management. Research companion to the dysfunctional workplace: Management challenges and symptoms</w:t>
      </w:r>
      <w:r w:rsidRPr="0076489C">
        <w:rPr>
          <w:bdr w:val="none" w:sz="0" w:space="0" w:color="auto" w:frame="1"/>
          <w:lang w:val="en-CA"/>
        </w:rPr>
        <w:t xml:space="preserve"> (p. 168–186). </w:t>
      </w:r>
      <w:r w:rsidRPr="0076489C">
        <w:rPr>
          <w:bdr w:val="none" w:sz="0" w:space="0" w:color="auto" w:frame="1"/>
        </w:rPr>
        <w:t xml:space="preserve">Edward Elgar </w:t>
      </w:r>
      <w:proofErr w:type="spellStart"/>
      <w:r w:rsidRPr="0076489C">
        <w:rPr>
          <w:bdr w:val="none" w:sz="0" w:space="0" w:color="auto" w:frame="1"/>
        </w:rPr>
        <w:t>Publishing</w:t>
      </w:r>
      <w:proofErr w:type="spellEnd"/>
      <w:r w:rsidRPr="0076489C">
        <w:rPr>
          <w:bdr w:val="none" w:sz="0" w:space="0" w:color="auto" w:frame="1"/>
        </w:rPr>
        <w:t>.</w:t>
      </w:r>
    </w:p>
    <w:p w14:paraId="6C209EE5" w14:textId="77777777" w:rsidR="008D0D74" w:rsidRPr="0076489C" w:rsidRDefault="008D0D74" w:rsidP="008D0D74">
      <w:r w:rsidRPr="0076489C">
        <w:rPr>
          <w:bdr w:val="none" w:sz="0" w:space="0" w:color="auto" w:frame="1"/>
        </w:rPr>
        <w:t>Doucet, O. (2016). L’abandon de l’évaluation annuelle de performance : mode passagère ou approche novatrice ? </w:t>
      </w:r>
      <w:r w:rsidRPr="0076489C">
        <w:rPr>
          <w:i/>
          <w:iCs/>
          <w:bdr w:val="none" w:sz="0" w:space="0" w:color="auto" w:frame="1"/>
        </w:rPr>
        <w:t>Gestion</w:t>
      </w:r>
      <w:r w:rsidRPr="0076489C">
        <w:rPr>
          <w:bdr w:val="none" w:sz="0" w:space="0" w:color="auto" w:frame="1"/>
        </w:rPr>
        <w:t>, 41(2), 36-38. </w:t>
      </w:r>
    </w:p>
    <w:p w14:paraId="3A7CA1AA" w14:textId="77777777" w:rsidR="008D0D74" w:rsidRPr="0076489C" w:rsidRDefault="008D0D74" w:rsidP="008D0D74">
      <w:r w:rsidRPr="0076489C">
        <w:rPr>
          <w:bdr w:val="none" w:sz="0" w:space="0" w:color="auto" w:frame="1"/>
        </w:rPr>
        <w:t>Houde, I. (2019). Ressources humaines : passer de l’évaluation à la conversation. </w:t>
      </w:r>
      <w:r w:rsidRPr="0076489C">
        <w:rPr>
          <w:i/>
          <w:iCs/>
          <w:bdr w:val="none" w:sz="0" w:space="0" w:color="auto" w:frame="1"/>
        </w:rPr>
        <w:t>Le Soleil</w:t>
      </w:r>
      <w:r w:rsidRPr="0076489C">
        <w:rPr>
          <w:bdr w:val="none" w:sz="0" w:space="0" w:color="auto" w:frame="1"/>
        </w:rPr>
        <w:t>. Récupéré de </w:t>
      </w:r>
      <w:hyperlink r:id="rId8" w:tgtFrame="_blank" w:history="1">
        <w:r w:rsidRPr="0076489C">
          <w:rPr>
            <w:rStyle w:val="Lienhypertexte"/>
            <w:rFonts w:asciiTheme="minorHAnsi" w:hAnsiTheme="minorHAnsi" w:cstheme="minorHAnsi"/>
            <w:sz w:val="22"/>
            <w:szCs w:val="22"/>
            <w:bdr w:val="none" w:sz="0" w:space="0" w:color="auto" w:frame="1"/>
          </w:rPr>
          <w:t>www.lesoleil.com/affaires/ressources-humaines-passer-de-levaluation-a-la-conversation-5a971f06e58be910d69019b58ac28715</w:t>
        </w:r>
      </w:hyperlink>
    </w:p>
    <w:p w14:paraId="5A52D4F1" w14:textId="77777777" w:rsidR="008D0D74" w:rsidRPr="0076489C" w:rsidRDefault="008D0D74" w:rsidP="008D0D74">
      <w:pPr>
        <w:rPr>
          <w:lang w:val="en-CA"/>
        </w:rPr>
      </w:pPr>
      <w:r w:rsidRPr="0076489C">
        <w:rPr>
          <w:bdr w:val="none" w:sz="0" w:space="0" w:color="auto" w:frame="1"/>
          <w:lang w:val="en-CA"/>
        </w:rPr>
        <w:t>Murphy, K. R. (2020). Performance evaluation will not die, but it should. </w:t>
      </w:r>
      <w:r w:rsidRPr="0076489C">
        <w:rPr>
          <w:i/>
          <w:iCs/>
          <w:bdr w:val="none" w:sz="0" w:space="0" w:color="auto" w:frame="1"/>
          <w:lang w:val="en-CA"/>
        </w:rPr>
        <w:t>Human Resource Management Journal, 30</w:t>
      </w:r>
      <w:r w:rsidRPr="0076489C">
        <w:rPr>
          <w:bdr w:val="none" w:sz="0" w:space="0" w:color="auto" w:frame="1"/>
          <w:lang w:val="en-CA"/>
        </w:rPr>
        <w:t>(1), 13-31.</w:t>
      </w:r>
    </w:p>
    <w:p w14:paraId="36C007C1" w14:textId="77777777" w:rsidR="008D0D74" w:rsidRPr="0076489C" w:rsidRDefault="008D0D74" w:rsidP="008D0D74">
      <w:pPr>
        <w:rPr>
          <w:lang w:val="en-CA"/>
        </w:rPr>
      </w:pPr>
      <w:r w:rsidRPr="0076489C">
        <w:rPr>
          <w:bdr w:val="none" w:sz="0" w:space="0" w:color="auto" w:frame="1"/>
          <w:lang w:val="en-CA"/>
        </w:rPr>
        <w:t>Murphy, K. R., Cleveland, J. N. et Hanscom, M. E. (2019). </w:t>
      </w:r>
      <w:r w:rsidRPr="0076489C">
        <w:rPr>
          <w:i/>
          <w:iCs/>
          <w:bdr w:val="none" w:sz="0" w:space="0" w:color="auto" w:frame="1"/>
          <w:lang w:val="en-CA"/>
        </w:rPr>
        <w:t>Performance appraisal and management</w:t>
      </w:r>
      <w:r w:rsidRPr="0076489C">
        <w:rPr>
          <w:bdr w:val="none" w:sz="0" w:space="0" w:color="auto" w:frame="1"/>
          <w:lang w:val="en-CA"/>
        </w:rPr>
        <w:t xml:space="preserve">. Los </w:t>
      </w:r>
      <w:proofErr w:type="gramStart"/>
      <w:r w:rsidRPr="0076489C">
        <w:rPr>
          <w:bdr w:val="none" w:sz="0" w:space="0" w:color="auto" w:frame="1"/>
          <w:lang w:val="en-CA"/>
        </w:rPr>
        <w:t>Angeles :</w:t>
      </w:r>
      <w:proofErr w:type="gramEnd"/>
      <w:r w:rsidRPr="0076489C">
        <w:rPr>
          <w:bdr w:val="none" w:sz="0" w:space="0" w:color="auto" w:frame="1"/>
          <w:lang w:val="en-CA"/>
        </w:rPr>
        <w:t xml:space="preserve"> Sage.</w:t>
      </w:r>
    </w:p>
    <w:p w14:paraId="453EA283" w14:textId="7FF647A8" w:rsidR="00174253" w:rsidRPr="00A723B7" w:rsidRDefault="008D0D74" w:rsidP="008D0D74">
      <w:proofErr w:type="spellStart"/>
      <w:r w:rsidRPr="008D0D74">
        <w:rPr>
          <w:bdr w:val="none" w:sz="0" w:space="0" w:color="auto" w:frame="1"/>
          <w:lang w:val="fr-CA"/>
        </w:rPr>
        <w:t>O’Boyle</w:t>
      </w:r>
      <w:proofErr w:type="spellEnd"/>
      <w:r w:rsidRPr="008D0D74">
        <w:rPr>
          <w:bdr w:val="none" w:sz="0" w:space="0" w:color="auto" w:frame="1"/>
          <w:lang w:val="fr-CA"/>
        </w:rPr>
        <w:t xml:space="preserve"> Jr., E. et </w:t>
      </w:r>
      <w:proofErr w:type="spellStart"/>
      <w:r w:rsidRPr="008D0D74">
        <w:rPr>
          <w:bdr w:val="none" w:sz="0" w:space="0" w:color="auto" w:frame="1"/>
          <w:lang w:val="fr-CA"/>
        </w:rPr>
        <w:t>Aguinis</w:t>
      </w:r>
      <w:proofErr w:type="spellEnd"/>
      <w:r w:rsidRPr="008D0D74">
        <w:rPr>
          <w:bdr w:val="none" w:sz="0" w:space="0" w:color="auto" w:frame="1"/>
          <w:lang w:val="fr-CA"/>
        </w:rPr>
        <w:t xml:space="preserve">, H. (2012). </w:t>
      </w:r>
      <w:r w:rsidRPr="0076489C">
        <w:rPr>
          <w:bdr w:val="none" w:sz="0" w:space="0" w:color="auto" w:frame="1"/>
          <w:lang w:val="en-CA"/>
        </w:rPr>
        <w:t>The best and the rest: Revisiting the norm of normality of individual performance. </w:t>
      </w:r>
      <w:r w:rsidRPr="0076489C">
        <w:rPr>
          <w:i/>
          <w:iCs/>
          <w:bdr w:val="none" w:sz="0" w:space="0" w:color="auto" w:frame="1"/>
        </w:rPr>
        <w:t>Personnel Psychology, 65</w:t>
      </w:r>
      <w:r w:rsidRPr="0076489C">
        <w:rPr>
          <w:bdr w:val="none" w:sz="0" w:space="0" w:color="auto" w:frame="1"/>
        </w:rPr>
        <w:t>(1), 79-119.</w:t>
      </w:r>
    </w:p>
    <w:sectPr w:rsidR="00174253" w:rsidRPr="00A723B7" w:rsidSect="009C34F9">
      <w:headerReference w:type="default" r:id="rId9"/>
      <w:footerReference w:type="even" r:id="rId10"/>
      <w:footerReference w:type="default" r:id="rId11"/>
      <w:headerReference w:type="first" r:id="rId12"/>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5EB03" w14:textId="77777777" w:rsidR="00B4415E" w:rsidRDefault="00B4415E" w:rsidP="00D14FC7">
      <w:r>
        <w:separator/>
      </w:r>
    </w:p>
  </w:endnote>
  <w:endnote w:type="continuationSeparator" w:id="0">
    <w:p w14:paraId="0A9293E5" w14:textId="77777777" w:rsidR="00B4415E" w:rsidRDefault="00B4415E"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0CCA1" w14:textId="77777777" w:rsidR="00B4415E" w:rsidRDefault="00B4415E" w:rsidP="00D14FC7">
      <w:r>
        <w:separator/>
      </w:r>
    </w:p>
  </w:footnote>
  <w:footnote w:type="continuationSeparator" w:id="0">
    <w:p w14:paraId="04395B00" w14:textId="77777777" w:rsidR="00B4415E" w:rsidRDefault="00B4415E"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5712C"/>
    <w:multiLevelType w:val="hybridMultilevel"/>
    <w:tmpl w:val="C7083A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A86D1A"/>
    <w:multiLevelType w:val="hybridMultilevel"/>
    <w:tmpl w:val="DC24123E"/>
    <w:lvl w:ilvl="0" w:tplc="0C0C000F">
      <w:start w:val="1"/>
      <w:numFmt w:val="decimal"/>
      <w:lvlText w:val="%1."/>
      <w:lvlJc w:val="left"/>
      <w:pPr>
        <w:ind w:left="360" w:hanging="360"/>
      </w:pPr>
      <w:rPr>
        <w:rFonts w:hint="default"/>
      </w:rPr>
    </w:lvl>
    <w:lvl w:ilvl="1" w:tplc="4A8A22F6">
      <w:start w:val="1"/>
      <w:numFmt w:val="bullet"/>
      <w:lvlText w:val="•"/>
      <w:lvlJc w:val="left"/>
      <w:pPr>
        <w:ind w:left="1080" w:hanging="360"/>
      </w:pPr>
      <w:rPr>
        <w:rFonts w:ascii="Arial" w:eastAsiaTheme="minorHAnsi" w:hAnsi="Arial" w:cs="Aria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04747BBC"/>
    <w:multiLevelType w:val="hybridMultilevel"/>
    <w:tmpl w:val="613479DE"/>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5496992"/>
    <w:multiLevelType w:val="hybridMultilevel"/>
    <w:tmpl w:val="8D2C4F14"/>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1C79D6"/>
    <w:multiLevelType w:val="hybridMultilevel"/>
    <w:tmpl w:val="8E1A2460"/>
    <w:lvl w:ilvl="0" w:tplc="71C2A4DE">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87B7D16"/>
    <w:multiLevelType w:val="hybridMultilevel"/>
    <w:tmpl w:val="661832D4"/>
    <w:lvl w:ilvl="0" w:tplc="A0D46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8034D5"/>
    <w:multiLevelType w:val="hybridMultilevel"/>
    <w:tmpl w:val="3ED854F6"/>
    <w:lvl w:ilvl="0" w:tplc="E63411A0">
      <w:start w:val="1"/>
      <w:numFmt w:val="decimal"/>
      <w:lvlText w:val="%1."/>
      <w:lvlJc w:val="left"/>
      <w:pPr>
        <w:ind w:left="357" w:hanging="357"/>
      </w:pPr>
      <w:rPr>
        <w:rFonts w:hint="default"/>
        <w:i w:val="0"/>
        <w:color w:val="auto"/>
      </w:rPr>
    </w:lvl>
    <w:lvl w:ilvl="1" w:tplc="DA86E2D2">
      <w:start w:val="1"/>
      <w:numFmt w:val="lowerLetter"/>
      <w:lvlText w:val="%2)"/>
      <w:lvlJc w:val="left"/>
      <w:pPr>
        <w:ind w:left="720" w:hanging="363"/>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286EE4"/>
    <w:multiLevelType w:val="hybridMultilevel"/>
    <w:tmpl w:val="16A4DB1C"/>
    <w:lvl w:ilvl="0" w:tplc="E63411A0">
      <w:start w:val="1"/>
      <w:numFmt w:val="decimal"/>
      <w:lvlText w:val="%1."/>
      <w:lvlJc w:val="left"/>
      <w:pPr>
        <w:ind w:left="357" w:hanging="357"/>
      </w:pPr>
      <w:rPr>
        <w:rFonts w:hint="default"/>
        <w:i w:val="0"/>
        <w:color w:val="auto"/>
      </w:rPr>
    </w:lvl>
    <w:lvl w:ilvl="1" w:tplc="DA86E2D2">
      <w:start w:val="1"/>
      <w:numFmt w:val="lowerLetter"/>
      <w:lvlText w:val="%2)"/>
      <w:lvlJc w:val="left"/>
      <w:pPr>
        <w:ind w:left="720" w:hanging="363"/>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EA01F6"/>
    <w:multiLevelType w:val="hybridMultilevel"/>
    <w:tmpl w:val="F160897A"/>
    <w:lvl w:ilvl="0" w:tplc="4CAAA8CA">
      <w:start w:val="1"/>
      <w:numFmt w:val="lowerLetter"/>
      <w:lvlText w:val="%1)"/>
      <w:lvlJc w:val="left"/>
      <w:pPr>
        <w:ind w:left="720" w:hanging="360"/>
      </w:pPr>
      <w:rPr>
        <w:rFonts w:ascii="Calibri" w:hAnsi="Calibri"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2A7CEA"/>
    <w:multiLevelType w:val="multilevel"/>
    <w:tmpl w:val="73C27218"/>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C65E41"/>
    <w:multiLevelType w:val="hybridMultilevel"/>
    <w:tmpl w:val="7A72D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76411AC"/>
    <w:multiLevelType w:val="multilevel"/>
    <w:tmpl w:val="D2C672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79648A"/>
    <w:multiLevelType w:val="hybridMultilevel"/>
    <w:tmpl w:val="8BB6544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68162B0"/>
    <w:multiLevelType w:val="hybridMultilevel"/>
    <w:tmpl w:val="8E2252EA"/>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9F33C5"/>
    <w:multiLevelType w:val="hybridMultilevel"/>
    <w:tmpl w:val="9AF2B498"/>
    <w:lvl w:ilvl="0" w:tplc="C08654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C43965"/>
    <w:multiLevelType w:val="hybridMultilevel"/>
    <w:tmpl w:val="7FD47CC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56D49FF"/>
    <w:multiLevelType w:val="hybridMultilevel"/>
    <w:tmpl w:val="55B8CBF0"/>
    <w:lvl w:ilvl="0" w:tplc="F2322ADA">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62140C"/>
    <w:multiLevelType w:val="hybridMultilevel"/>
    <w:tmpl w:val="7B40A954"/>
    <w:lvl w:ilvl="0" w:tplc="D144A45C">
      <w:start w:val="1"/>
      <w:numFmt w:val="decimal"/>
      <w:lvlText w:val="%1."/>
      <w:lvlJc w:val="left"/>
      <w:pPr>
        <w:ind w:left="720" w:hanging="360"/>
      </w:pPr>
      <w:rPr>
        <w:rFonts w:eastAsiaTheme="minorHAnsi" w:cs="Times New Roman" w:hint="default"/>
        <w:b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7C7B6F"/>
    <w:multiLevelType w:val="hybridMultilevel"/>
    <w:tmpl w:val="3D10E7C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36FF0C0D"/>
    <w:multiLevelType w:val="hybridMultilevel"/>
    <w:tmpl w:val="15441F64"/>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A4F2015"/>
    <w:multiLevelType w:val="hybridMultilevel"/>
    <w:tmpl w:val="1092FF1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CD156F"/>
    <w:multiLevelType w:val="hybridMultilevel"/>
    <w:tmpl w:val="5238B9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BA7232"/>
    <w:multiLevelType w:val="hybridMultilevel"/>
    <w:tmpl w:val="CB46BFAA"/>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41523F4"/>
    <w:multiLevelType w:val="hybridMultilevel"/>
    <w:tmpl w:val="2812C158"/>
    <w:lvl w:ilvl="0" w:tplc="85B8487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4522D8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246418"/>
    <w:multiLevelType w:val="hybridMultilevel"/>
    <w:tmpl w:val="82E89C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F9F3EED"/>
    <w:multiLevelType w:val="hybridMultilevel"/>
    <w:tmpl w:val="F9F2844E"/>
    <w:lvl w:ilvl="0" w:tplc="D144A45C">
      <w:start w:val="1"/>
      <w:numFmt w:val="decimal"/>
      <w:lvlText w:val="%1."/>
      <w:lvlJc w:val="left"/>
      <w:pPr>
        <w:ind w:left="720" w:hanging="360"/>
      </w:pPr>
      <w:rPr>
        <w:rFonts w:eastAsiaTheme="minorHAnsi" w:cs="Times New Roman" w:hint="default"/>
        <w:b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DD51DA"/>
    <w:multiLevelType w:val="hybridMultilevel"/>
    <w:tmpl w:val="F860299A"/>
    <w:lvl w:ilvl="0" w:tplc="4CCED058">
      <w:start w:val="1"/>
      <w:numFmt w:val="decimal"/>
      <w:lvlText w:val="%1."/>
      <w:lvlJc w:val="left"/>
      <w:pPr>
        <w:ind w:left="357" w:hanging="35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6A41C53"/>
    <w:multiLevelType w:val="hybridMultilevel"/>
    <w:tmpl w:val="B19EA92C"/>
    <w:lvl w:ilvl="0" w:tplc="F2322ADA">
      <w:start w:val="1"/>
      <w:numFmt w:val="low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1" w15:restartNumberingAfterBreak="0">
    <w:nsid w:val="59600ACB"/>
    <w:multiLevelType w:val="hybridMultilevel"/>
    <w:tmpl w:val="1550F7E4"/>
    <w:lvl w:ilvl="0" w:tplc="4EFA1DFE">
      <w:start w:val="1"/>
      <w:numFmt w:val="decimal"/>
      <w:lvlText w:val="%1."/>
      <w:lvlJc w:val="left"/>
      <w:pPr>
        <w:ind w:left="357" w:hanging="35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696B80"/>
    <w:multiLevelType w:val="hybridMultilevel"/>
    <w:tmpl w:val="CFFC852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59FC6889"/>
    <w:multiLevelType w:val="hybridMultilevel"/>
    <w:tmpl w:val="387C627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5BDA093F"/>
    <w:multiLevelType w:val="multilevel"/>
    <w:tmpl w:val="F920D42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187DB8"/>
    <w:multiLevelType w:val="hybridMultilevel"/>
    <w:tmpl w:val="B6008ADC"/>
    <w:lvl w:ilvl="0" w:tplc="C08654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11647CD"/>
    <w:multiLevelType w:val="hybridMultilevel"/>
    <w:tmpl w:val="A828B4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6580507"/>
    <w:multiLevelType w:val="hybridMultilevel"/>
    <w:tmpl w:val="D2C672A8"/>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3453B9"/>
    <w:multiLevelType w:val="hybridMultilevel"/>
    <w:tmpl w:val="66F4186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6A2A2ABD"/>
    <w:multiLevelType w:val="hybridMultilevel"/>
    <w:tmpl w:val="A592724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A616A62"/>
    <w:multiLevelType w:val="hybridMultilevel"/>
    <w:tmpl w:val="22965556"/>
    <w:lvl w:ilvl="0" w:tplc="040C0001">
      <w:start w:val="1"/>
      <w:numFmt w:val="bullet"/>
      <w:lvlText w:val=""/>
      <w:lvlJc w:val="left"/>
      <w:pPr>
        <w:ind w:left="720" w:hanging="360"/>
      </w:pPr>
      <w:rPr>
        <w:rFonts w:ascii="Symbol" w:hAnsi="Symbol" w:hint="default"/>
      </w:rPr>
    </w:lvl>
    <w:lvl w:ilvl="1" w:tplc="A21E090A" w:tentative="1">
      <w:start w:val="1"/>
      <w:numFmt w:val="bullet"/>
      <w:lvlText w:val=""/>
      <w:lvlJc w:val="left"/>
      <w:pPr>
        <w:tabs>
          <w:tab w:val="num" w:pos="1440"/>
        </w:tabs>
        <w:ind w:left="1440" w:hanging="360"/>
      </w:pPr>
      <w:rPr>
        <w:rFonts w:ascii="Wingdings 2" w:hAnsi="Wingdings 2" w:hint="default"/>
      </w:rPr>
    </w:lvl>
    <w:lvl w:ilvl="2" w:tplc="4656A534" w:tentative="1">
      <w:start w:val="1"/>
      <w:numFmt w:val="bullet"/>
      <w:lvlText w:val=""/>
      <w:lvlJc w:val="left"/>
      <w:pPr>
        <w:tabs>
          <w:tab w:val="num" w:pos="2160"/>
        </w:tabs>
        <w:ind w:left="2160" w:hanging="360"/>
      </w:pPr>
      <w:rPr>
        <w:rFonts w:ascii="Wingdings 2" w:hAnsi="Wingdings 2" w:hint="default"/>
      </w:rPr>
    </w:lvl>
    <w:lvl w:ilvl="3" w:tplc="5A48D996" w:tentative="1">
      <w:start w:val="1"/>
      <w:numFmt w:val="bullet"/>
      <w:lvlText w:val=""/>
      <w:lvlJc w:val="left"/>
      <w:pPr>
        <w:tabs>
          <w:tab w:val="num" w:pos="2880"/>
        </w:tabs>
        <w:ind w:left="2880" w:hanging="360"/>
      </w:pPr>
      <w:rPr>
        <w:rFonts w:ascii="Wingdings 2" w:hAnsi="Wingdings 2" w:hint="default"/>
      </w:rPr>
    </w:lvl>
    <w:lvl w:ilvl="4" w:tplc="D5800B04" w:tentative="1">
      <w:start w:val="1"/>
      <w:numFmt w:val="bullet"/>
      <w:lvlText w:val=""/>
      <w:lvlJc w:val="left"/>
      <w:pPr>
        <w:tabs>
          <w:tab w:val="num" w:pos="3600"/>
        </w:tabs>
        <w:ind w:left="3600" w:hanging="360"/>
      </w:pPr>
      <w:rPr>
        <w:rFonts w:ascii="Wingdings 2" w:hAnsi="Wingdings 2" w:hint="default"/>
      </w:rPr>
    </w:lvl>
    <w:lvl w:ilvl="5" w:tplc="172443C8" w:tentative="1">
      <w:start w:val="1"/>
      <w:numFmt w:val="bullet"/>
      <w:lvlText w:val=""/>
      <w:lvlJc w:val="left"/>
      <w:pPr>
        <w:tabs>
          <w:tab w:val="num" w:pos="4320"/>
        </w:tabs>
        <w:ind w:left="4320" w:hanging="360"/>
      </w:pPr>
      <w:rPr>
        <w:rFonts w:ascii="Wingdings 2" w:hAnsi="Wingdings 2" w:hint="default"/>
      </w:rPr>
    </w:lvl>
    <w:lvl w:ilvl="6" w:tplc="C0CCE60C" w:tentative="1">
      <w:start w:val="1"/>
      <w:numFmt w:val="bullet"/>
      <w:lvlText w:val=""/>
      <w:lvlJc w:val="left"/>
      <w:pPr>
        <w:tabs>
          <w:tab w:val="num" w:pos="5040"/>
        </w:tabs>
        <w:ind w:left="5040" w:hanging="360"/>
      </w:pPr>
      <w:rPr>
        <w:rFonts w:ascii="Wingdings 2" w:hAnsi="Wingdings 2" w:hint="default"/>
      </w:rPr>
    </w:lvl>
    <w:lvl w:ilvl="7" w:tplc="DF80AD08" w:tentative="1">
      <w:start w:val="1"/>
      <w:numFmt w:val="bullet"/>
      <w:lvlText w:val=""/>
      <w:lvlJc w:val="left"/>
      <w:pPr>
        <w:tabs>
          <w:tab w:val="num" w:pos="5760"/>
        </w:tabs>
        <w:ind w:left="5760" w:hanging="360"/>
      </w:pPr>
      <w:rPr>
        <w:rFonts w:ascii="Wingdings 2" w:hAnsi="Wingdings 2" w:hint="default"/>
      </w:rPr>
    </w:lvl>
    <w:lvl w:ilvl="8" w:tplc="7DFEF012"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6EAA4F21"/>
    <w:multiLevelType w:val="hybridMultilevel"/>
    <w:tmpl w:val="4600CD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0FF32C8"/>
    <w:multiLevelType w:val="hybridMultilevel"/>
    <w:tmpl w:val="2004B268"/>
    <w:lvl w:ilvl="0" w:tplc="3FD8C74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34F7514"/>
    <w:multiLevelType w:val="hybridMultilevel"/>
    <w:tmpl w:val="748EE6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CF7DB3"/>
    <w:multiLevelType w:val="hybridMultilevel"/>
    <w:tmpl w:val="29C8699A"/>
    <w:lvl w:ilvl="0" w:tplc="85B8487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BDE452B"/>
    <w:multiLevelType w:val="multilevel"/>
    <w:tmpl w:val="382EA4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D257CF"/>
    <w:multiLevelType w:val="hybridMultilevel"/>
    <w:tmpl w:val="CECACF32"/>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9A39BC"/>
    <w:multiLevelType w:val="hybridMultilevel"/>
    <w:tmpl w:val="655856B2"/>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F43756B"/>
    <w:multiLevelType w:val="hybridMultilevel"/>
    <w:tmpl w:val="C3CCE4DE"/>
    <w:lvl w:ilvl="0" w:tplc="BD620E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43"/>
  </w:num>
  <w:num w:numId="3">
    <w:abstractNumId w:val="22"/>
  </w:num>
  <w:num w:numId="4">
    <w:abstractNumId w:val="39"/>
  </w:num>
  <w:num w:numId="5">
    <w:abstractNumId w:val="15"/>
  </w:num>
  <w:num w:numId="6">
    <w:abstractNumId w:val="37"/>
  </w:num>
  <w:num w:numId="7">
    <w:abstractNumId w:val="0"/>
  </w:num>
  <w:num w:numId="8">
    <w:abstractNumId w:val="5"/>
  </w:num>
  <w:num w:numId="9">
    <w:abstractNumId w:val="13"/>
  </w:num>
  <w:num w:numId="10">
    <w:abstractNumId w:val="46"/>
  </w:num>
  <w:num w:numId="11">
    <w:abstractNumId w:val="12"/>
  </w:num>
  <w:num w:numId="12">
    <w:abstractNumId w:val="9"/>
  </w:num>
  <w:num w:numId="13">
    <w:abstractNumId w:val="10"/>
  </w:num>
  <w:num w:numId="14">
    <w:abstractNumId w:val="48"/>
  </w:num>
  <w:num w:numId="15">
    <w:abstractNumId w:val="27"/>
  </w:num>
  <w:num w:numId="16">
    <w:abstractNumId w:val="8"/>
  </w:num>
  <w:num w:numId="17">
    <w:abstractNumId w:val="25"/>
  </w:num>
  <w:num w:numId="18">
    <w:abstractNumId w:val="2"/>
  </w:num>
  <w:num w:numId="19">
    <w:abstractNumId w:val="31"/>
  </w:num>
  <w:num w:numId="20">
    <w:abstractNumId w:val="45"/>
  </w:num>
  <w:num w:numId="21">
    <w:abstractNumId w:val="29"/>
  </w:num>
  <w:num w:numId="22">
    <w:abstractNumId w:val="44"/>
  </w:num>
  <w:num w:numId="23">
    <w:abstractNumId w:val="28"/>
  </w:num>
  <w:num w:numId="24">
    <w:abstractNumId w:val="19"/>
  </w:num>
  <w:num w:numId="25">
    <w:abstractNumId w:val="16"/>
  </w:num>
  <w:num w:numId="26">
    <w:abstractNumId w:val="34"/>
  </w:num>
  <w:num w:numId="27">
    <w:abstractNumId w:val="1"/>
  </w:num>
  <w:num w:numId="28">
    <w:abstractNumId w:val="35"/>
  </w:num>
  <w:num w:numId="29">
    <w:abstractNumId w:val="11"/>
  </w:num>
  <w:num w:numId="30">
    <w:abstractNumId w:val="42"/>
  </w:num>
  <w:num w:numId="31">
    <w:abstractNumId w:val="33"/>
  </w:num>
  <w:num w:numId="32">
    <w:abstractNumId w:val="17"/>
  </w:num>
  <w:num w:numId="33">
    <w:abstractNumId w:val="4"/>
  </w:num>
  <w:num w:numId="34">
    <w:abstractNumId w:val="24"/>
  </w:num>
  <w:num w:numId="35">
    <w:abstractNumId w:val="21"/>
  </w:num>
  <w:num w:numId="36">
    <w:abstractNumId w:val="3"/>
  </w:num>
  <w:num w:numId="37">
    <w:abstractNumId w:val="32"/>
  </w:num>
  <w:num w:numId="38">
    <w:abstractNumId w:val="38"/>
  </w:num>
  <w:num w:numId="39">
    <w:abstractNumId w:val="14"/>
  </w:num>
  <w:num w:numId="40">
    <w:abstractNumId w:val="20"/>
  </w:num>
  <w:num w:numId="41">
    <w:abstractNumId w:val="41"/>
  </w:num>
  <w:num w:numId="42">
    <w:abstractNumId w:val="26"/>
  </w:num>
  <w:num w:numId="43">
    <w:abstractNumId w:val="6"/>
  </w:num>
  <w:num w:numId="44">
    <w:abstractNumId w:val="18"/>
  </w:num>
  <w:num w:numId="45">
    <w:abstractNumId w:val="30"/>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47"/>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4419A"/>
    <w:rsid w:val="0007156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21779E"/>
    <w:rsid w:val="00224F16"/>
    <w:rsid w:val="00225221"/>
    <w:rsid w:val="0023625D"/>
    <w:rsid w:val="00241F9B"/>
    <w:rsid w:val="002617B4"/>
    <w:rsid w:val="00275CB8"/>
    <w:rsid w:val="00276B8A"/>
    <w:rsid w:val="00281F62"/>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2359E"/>
    <w:rsid w:val="00431547"/>
    <w:rsid w:val="00433A44"/>
    <w:rsid w:val="00441070"/>
    <w:rsid w:val="00460D86"/>
    <w:rsid w:val="0047121E"/>
    <w:rsid w:val="004741A6"/>
    <w:rsid w:val="00476779"/>
    <w:rsid w:val="004833AD"/>
    <w:rsid w:val="004A0850"/>
    <w:rsid w:val="004A34A6"/>
    <w:rsid w:val="004B7029"/>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787C"/>
    <w:rsid w:val="007852D2"/>
    <w:rsid w:val="0079110D"/>
    <w:rsid w:val="007A3418"/>
    <w:rsid w:val="007A685E"/>
    <w:rsid w:val="007C1FD1"/>
    <w:rsid w:val="007D178D"/>
    <w:rsid w:val="007E2E07"/>
    <w:rsid w:val="007F742F"/>
    <w:rsid w:val="00804272"/>
    <w:rsid w:val="00813D73"/>
    <w:rsid w:val="00813E6F"/>
    <w:rsid w:val="00825669"/>
    <w:rsid w:val="008271C0"/>
    <w:rsid w:val="00827C32"/>
    <w:rsid w:val="00833415"/>
    <w:rsid w:val="00842DD3"/>
    <w:rsid w:val="0086234F"/>
    <w:rsid w:val="008628DA"/>
    <w:rsid w:val="00881DD4"/>
    <w:rsid w:val="008B1D11"/>
    <w:rsid w:val="008C6B48"/>
    <w:rsid w:val="008D0D74"/>
    <w:rsid w:val="008E0B91"/>
    <w:rsid w:val="0090546A"/>
    <w:rsid w:val="009125B7"/>
    <w:rsid w:val="009143FE"/>
    <w:rsid w:val="00920219"/>
    <w:rsid w:val="009231C0"/>
    <w:rsid w:val="00990800"/>
    <w:rsid w:val="00991994"/>
    <w:rsid w:val="009A5EF6"/>
    <w:rsid w:val="009B04D2"/>
    <w:rsid w:val="009C34F9"/>
    <w:rsid w:val="009D0E38"/>
    <w:rsid w:val="009D1A3A"/>
    <w:rsid w:val="009D5A5B"/>
    <w:rsid w:val="009D5D53"/>
    <w:rsid w:val="009E0BF2"/>
    <w:rsid w:val="009F524A"/>
    <w:rsid w:val="009F6E0E"/>
    <w:rsid w:val="00A00A07"/>
    <w:rsid w:val="00A106BE"/>
    <w:rsid w:val="00A1168C"/>
    <w:rsid w:val="00A227FD"/>
    <w:rsid w:val="00A22DCE"/>
    <w:rsid w:val="00A34074"/>
    <w:rsid w:val="00A556A5"/>
    <w:rsid w:val="00A723B7"/>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301C8"/>
    <w:rsid w:val="00B4415E"/>
    <w:rsid w:val="00B53A1F"/>
    <w:rsid w:val="00B750E5"/>
    <w:rsid w:val="00B854E7"/>
    <w:rsid w:val="00B965E9"/>
    <w:rsid w:val="00BA0CE9"/>
    <w:rsid w:val="00BD016A"/>
    <w:rsid w:val="00C26993"/>
    <w:rsid w:val="00C33BFD"/>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F2700"/>
    <w:rsid w:val="00E00780"/>
    <w:rsid w:val="00E03553"/>
    <w:rsid w:val="00E07D6F"/>
    <w:rsid w:val="00E11D92"/>
    <w:rsid w:val="00E167E7"/>
    <w:rsid w:val="00E23F40"/>
    <w:rsid w:val="00E267B1"/>
    <w:rsid w:val="00E26AA4"/>
    <w:rsid w:val="00E27BC9"/>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7"/>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 w:type="paragraph" w:customStyle="1" w:styleId="Rsumdelathse">
    <w:name w:val="Résumé de la thèse"/>
    <w:basedOn w:val="Normal"/>
    <w:rsid w:val="00A723B7"/>
    <w:pPr>
      <w:spacing w:after="360" w:line="240" w:lineRule="auto"/>
      <w:jc w:val="both"/>
    </w:pPr>
    <w:rPr>
      <w:rFonts w:ascii="Times New Roman" w:eastAsia="SimSun" w:hAnsi="Times New Roman"/>
      <w:sz w:val="24"/>
      <w:lang w:val="fr-CA" w:eastAsia="zh-CN"/>
    </w:rPr>
  </w:style>
  <w:style w:type="paragraph" w:customStyle="1" w:styleId="Paragraphedeliste1">
    <w:name w:val="Paragraphe de liste1"/>
    <w:basedOn w:val="Normal"/>
    <w:uiPriority w:val="99"/>
    <w:rsid w:val="00A723B7"/>
    <w:pPr>
      <w:spacing w:after="200" w:line="276" w:lineRule="auto"/>
      <w:ind w:left="720"/>
      <w:contextualSpacing/>
    </w:pPr>
    <w:rPr>
      <w:rFonts w:ascii="Calibri" w:eastAsia="Times New Roman" w:hAnsi="Calibri"/>
      <w:sz w:val="22"/>
      <w:szCs w:val="22"/>
      <w:lang w:val="fr-CA" w:eastAsia="en-US"/>
    </w:rPr>
  </w:style>
  <w:style w:type="paragraph" w:styleId="NormalWeb">
    <w:name w:val="Normal (Web)"/>
    <w:basedOn w:val="Normal"/>
    <w:uiPriority w:val="99"/>
    <w:semiHidden/>
    <w:unhideWhenUsed/>
    <w:rsid w:val="009D0E38"/>
    <w:pPr>
      <w:spacing w:before="100" w:beforeAutospacing="1" w:after="100" w:afterAutospacing="1" w:line="240" w:lineRule="auto"/>
    </w:pPr>
    <w:rPr>
      <w:rFonts w:ascii="Times New Roman" w:eastAsia="Times New Roman" w:hAnsi="Times New Roman"/>
      <w:sz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lesoleil.com_affaires_ressources-2Dhumaines-2Dpasser-2Dde-2Dlevaluation-2Da-2Dla-2Dconversation-2D5a971f06e58be910d69019b58ac28715&amp;d=DwMFaQ&amp;c=0YLnzTkWOdJlub_y7qAx8Q&amp;r=pic2JIQV-Q5w4nYlqV0Lg3i-jM-NLxmhRiarpB4jEh80yWP-TJxQMISoGeu52OJu&amp;m=tgrVUd0-XTG3Xeh1j5sMZNgA0wVLj9z3UNkONj0_lws&amp;s=bl-m1nch4QJd8x8zcFjoX6tIiugg0uE1Q0af63YxBAE&am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D7196-576C-44C0-AE63-95435B90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3713</Words>
  <Characters>20422</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24087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9</cp:revision>
  <cp:lastPrinted>2019-03-13T15:05:00Z</cp:lastPrinted>
  <dcterms:created xsi:type="dcterms:W3CDTF">2020-12-03T19:12:00Z</dcterms:created>
  <dcterms:modified xsi:type="dcterms:W3CDTF">2020-12-04T14:11:00Z</dcterms:modified>
  <cp:category/>
</cp:coreProperties>
</file>