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C6A90" w14:textId="4FA285CD" w:rsidR="007E4AA6" w:rsidRPr="007E4AA6" w:rsidRDefault="007E4AA6" w:rsidP="007E4AA6">
      <w:pPr>
        <w:pStyle w:val="Titre1"/>
      </w:pPr>
      <w:r w:rsidRPr="002556B9">
        <w:t xml:space="preserve">CHAPITRE </w:t>
      </w:r>
      <w:r>
        <w:t>10</w:t>
      </w:r>
      <w:r w:rsidR="00574BEF">
        <w:t xml:space="preserve"> – Étude de cas </w:t>
      </w:r>
    </w:p>
    <w:p w14:paraId="35F0D9F9" w14:textId="77777777" w:rsidR="007E4AA6" w:rsidRPr="002762DE" w:rsidRDefault="007E4AA6" w:rsidP="007E4AA6">
      <w:pPr>
        <w:pStyle w:val="Titre2"/>
        <w:rPr>
          <w:rFonts w:eastAsia="Times New Roman"/>
        </w:rPr>
      </w:pPr>
      <w:r>
        <w:rPr>
          <w:rFonts w:eastAsia="Times New Roman"/>
        </w:rPr>
        <w:t>L’égalité salariale </w:t>
      </w:r>
      <w:r w:rsidRPr="002762DE">
        <w:rPr>
          <w:rFonts w:eastAsia="Times New Roman"/>
        </w:rPr>
        <w:t>: réalité ou utopie</w:t>
      </w:r>
      <w:r>
        <w:rPr>
          <w:rFonts w:eastAsia="Times New Roman"/>
        </w:rPr>
        <w:t> </w:t>
      </w:r>
      <w:r w:rsidRPr="002762DE">
        <w:rPr>
          <w:rFonts w:eastAsia="Times New Roman"/>
        </w:rPr>
        <w:t>?</w:t>
      </w:r>
    </w:p>
    <w:p w14:paraId="73E7001E" w14:textId="77777777" w:rsidR="007E4AA6" w:rsidRDefault="007E4AA6" w:rsidP="007E4AA6">
      <w:pPr>
        <w:pStyle w:val="Titre3"/>
        <w:spacing w:before="0" w:after="0"/>
      </w:pPr>
      <w:r>
        <w:t>Éric Jean</w:t>
      </w:r>
    </w:p>
    <w:p w14:paraId="7FFC76DB" w14:textId="77777777" w:rsidR="007E4AA6" w:rsidRDefault="007E4AA6" w:rsidP="007E4AA6">
      <w:pPr>
        <w:pStyle w:val="Titre3"/>
        <w:spacing w:before="0" w:after="0"/>
      </w:pPr>
      <w:r>
        <w:t>Professeur en gestion des ressources humaines</w:t>
      </w:r>
    </w:p>
    <w:p w14:paraId="1368A86C" w14:textId="77777777" w:rsidR="007E4AA6" w:rsidRDefault="007E4AA6" w:rsidP="007E4AA6">
      <w:pPr>
        <w:pStyle w:val="Titre3"/>
        <w:spacing w:before="0" w:after="0"/>
      </w:pPr>
      <w:r>
        <w:t>Université du Québec à Chicoutimi</w:t>
      </w:r>
    </w:p>
    <w:p w14:paraId="3111EA43" w14:textId="77777777" w:rsidR="007E4AA6" w:rsidRDefault="007E4AA6" w:rsidP="007E4AA6">
      <w:pPr>
        <w:pStyle w:val="Titre3"/>
        <w:spacing w:before="0" w:after="0"/>
      </w:pPr>
      <w:r>
        <w:t>Martin Jean</w:t>
      </w:r>
    </w:p>
    <w:p w14:paraId="2D51B86E" w14:textId="529F5F9D" w:rsidR="007E4AA6" w:rsidRDefault="007E4AA6" w:rsidP="007E4AA6">
      <w:pPr>
        <w:pStyle w:val="Titre3"/>
        <w:spacing w:before="0" w:after="0"/>
      </w:pPr>
      <w:r>
        <w:t>Consultant</w:t>
      </w:r>
    </w:p>
    <w:p w14:paraId="7F5F1B11" w14:textId="77777777" w:rsidR="007E4AA6" w:rsidRDefault="007E4AA6" w:rsidP="007E4AA6">
      <w:pPr>
        <w:spacing w:before="240"/>
        <w:rPr>
          <w:lang w:eastAsia="fr-CA"/>
        </w:rPr>
      </w:pPr>
      <w:r>
        <w:rPr>
          <w:lang w:eastAsia="fr-CA"/>
        </w:rPr>
        <w:t>Ayant pour mission de soutenir les victimes d’actes criminels, l’organisme </w:t>
      </w:r>
      <w:r w:rsidRPr="002762DE">
        <w:rPr>
          <w:iCs/>
          <w:lang w:eastAsia="fr-CA"/>
        </w:rPr>
        <w:t>Aide Victimes</w:t>
      </w:r>
      <w:r w:rsidRPr="002762DE">
        <w:rPr>
          <w:bCs/>
          <w:lang w:eastAsia="fr-CA"/>
        </w:rPr>
        <w:t>, qui</w:t>
      </w:r>
      <w:r>
        <w:rPr>
          <w:b/>
          <w:bCs/>
          <w:lang w:eastAsia="fr-CA"/>
        </w:rPr>
        <w:t xml:space="preserve"> </w:t>
      </w:r>
      <w:r>
        <w:rPr>
          <w:lang w:eastAsia="fr-CA"/>
        </w:rPr>
        <w:t xml:space="preserve">existe depuis 1989, s’engage activement dans le milieu communautaire. À ses débuts, il ne comptait que deux intervenantes, ce qui était suffisant pour offrir le service à l’époque. Au fil du temps, l’organisme a créé des services complémentaires pour appuyer les victimes de plus d’une façon. Aujourd’hui, </w:t>
      </w:r>
      <w:r w:rsidRPr="002762DE">
        <w:rPr>
          <w:iCs/>
          <w:lang w:eastAsia="fr-CA"/>
        </w:rPr>
        <w:t>Aide victimes</w:t>
      </w:r>
      <w:r>
        <w:rPr>
          <w:lang w:eastAsia="fr-CA"/>
        </w:rPr>
        <w:t xml:space="preserve"> compte sur la collaboration d’une dizaine de salariées qui ont des profils bien différents, mais qui mettent toujours en avant la relation d’aide, le sens de l’écoute et le profond désir d’agir concrètement en faveur des victimes. </w:t>
      </w:r>
    </w:p>
    <w:p w14:paraId="7E9E560E" w14:textId="77777777" w:rsidR="007E4AA6" w:rsidRDefault="007E4AA6" w:rsidP="007E4AA6">
      <w:pPr>
        <w:spacing w:before="240"/>
        <w:rPr>
          <w:lang w:eastAsia="fr-CA"/>
        </w:rPr>
      </w:pPr>
      <w:r>
        <w:rPr>
          <w:lang w:eastAsia="fr-CA"/>
        </w:rPr>
        <w:t xml:space="preserve">À l’ère du plein emploi, les défis organisationnels deviennent nombreux. L’organisme est trop souvent perçu par les salariées comme un tremplin pour accéder à des postes plus intéressants dans le milieu de la santé. Ainsi, la question de la rémunération globale devient un enjeu important dans un contexte de rétention de la main-d’œuvre. </w:t>
      </w:r>
    </w:p>
    <w:p w14:paraId="26788AE0" w14:textId="77777777" w:rsidR="007E4AA6" w:rsidRDefault="007E4AA6" w:rsidP="007E4AA6">
      <w:pPr>
        <w:spacing w:before="240"/>
        <w:rPr>
          <w:lang w:eastAsia="fr-CA"/>
        </w:rPr>
      </w:pPr>
      <w:r>
        <w:rPr>
          <w:lang w:eastAsia="fr-CA"/>
        </w:rPr>
        <w:t>Fier de compter sur des professionnelles engagées, l’organisme mise sur une approche plutôt distinctive quant à la rémunération de ses employées : l’égalité salariale. L’équipe de direction, qui</w:t>
      </w:r>
      <w:r w:rsidRPr="00836CD3">
        <w:rPr>
          <w:lang w:eastAsia="fr-CA"/>
        </w:rPr>
        <w:t xml:space="preserve"> </w:t>
      </w:r>
      <w:r>
        <w:rPr>
          <w:lang w:eastAsia="fr-CA"/>
        </w:rPr>
        <w:t>fait depuis plus de 20 ans la promotion du courant féministe au sein de son organisme, souhaitait par le passé offrir une chance égale d’avoir une rémunération juste et équitable excluant toute forme de discrimination quant aux compétences et aux qualifications requises pour chaque catégorie d’emploi. Concrètement, Nancy, qui travaille pour l’organisme depuis plus de deux décennies, gagne le même salaire (taux horaire) et jouit des mêmes avantages à valeur pécuniaire (congés personnels, régime de vacances, etc.) que Léonie, qui, elle, vient tout juste de terminer sa formation en travail social et fait au quotidien le même travail que Nancy.</w:t>
      </w:r>
    </w:p>
    <w:p w14:paraId="79746DF7" w14:textId="77777777" w:rsidR="007E4AA6" w:rsidRDefault="007E4AA6" w:rsidP="007E4AA6">
      <w:pPr>
        <w:spacing w:before="240"/>
        <w:rPr>
          <w:lang w:eastAsia="fr-CA"/>
        </w:rPr>
      </w:pPr>
      <w:r>
        <w:rPr>
          <w:lang w:eastAsia="fr-CA"/>
        </w:rPr>
        <w:t xml:space="preserve">Avec l’arrivée de nouvelles employées au sein de l’organisme, l’équilibre qui s’était établi au fil des ans concernant la valeur d’égalité salariale semble tout à coup ébranlé. En effet, Nancy vit depuis quelques mois un sentiment d’iniquité. Lorsqu’elle en parle à Nicole, la directrice, cette dernière lui répond que l’approche de rémunération utilisée au sein de l’organisme est la même depuis la création de celui-ci et qu’il faut en voir les côtés positifs. Insatisfaite de cette réponse, Nancy commence à discuter de la situation avec d’autres salariées ayant joint l’organisme à ses débuts. Elle trouve même une écoute auprès d’une employée nouvellement arrivée qui lui exprime son malaise de toucher une rémunération égale alors qu’elle estimerait normal de recevoir un taux horaire plus bas que ses collègues. Cette dernière pense en effet qu’il serait plus </w:t>
      </w:r>
      <w:r>
        <w:rPr>
          <w:lang w:eastAsia="fr-CA"/>
        </w:rPr>
        <w:lastRenderedPageBreak/>
        <w:t xml:space="preserve">logique de mettre en place une progression salariale plutôt que de continuer à avoir un taux de rémunération unique. </w:t>
      </w:r>
    </w:p>
    <w:p w14:paraId="02AB9E96" w14:textId="77777777" w:rsidR="007E4AA6" w:rsidRDefault="007E4AA6" w:rsidP="007E4AA6">
      <w:pPr>
        <w:spacing w:before="240"/>
        <w:rPr>
          <w:lang w:eastAsia="fr-CA"/>
        </w:rPr>
      </w:pPr>
      <w:r>
        <w:rPr>
          <w:lang w:eastAsia="fr-CA"/>
        </w:rPr>
        <w:t xml:space="preserve">Voici un tableau résumant la situation de la rémunération </w:t>
      </w:r>
      <w:r w:rsidRPr="0002625A">
        <w:rPr>
          <w:lang w:eastAsia="fr-CA"/>
        </w:rPr>
        <w:t xml:space="preserve">chez </w:t>
      </w:r>
      <w:r w:rsidRPr="002762DE">
        <w:rPr>
          <w:iCs/>
          <w:lang w:eastAsia="fr-CA"/>
        </w:rPr>
        <w:t>Aide victimes</w:t>
      </w:r>
      <w:r w:rsidRPr="0002625A">
        <w:rPr>
          <w:lang w:eastAsia="fr-CA"/>
        </w:rPr>
        <w:t xml:space="preserve"> </w:t>
      </w:r>
      <w:r>
        <w:rPr>
          <w:lang w:eastAsia="fr-CA"/>
        </w:rPr>
        <w:t>pour chaque catégorie d’emploi :</w:t>
      </w:r>
    </w:p>
    <w:p w14:paraId="0CEF8BBB" w14:textId="77777777" w:rsidR="007E4AA6" w:rsidRDefault="007E4AA6" w:rsidP="007E4AA6">
      <w:pPr>
        <w:rPr>
          <w:rFonts w:ascii="Calibri" w:eastAsia="Times New Roman" w:hAnsi="Calibri" w:cs="Calibri"/>
          <w:color w:val="000000"/>
          <w:lang w:eastAsia="fr-CA"/>
        </w:rPr>
      </w:pPr>
    </w:p>
    <w:tbl>
      <w:tblPr>
        <w:tblStyle w:val="Grilledutableau"/>
        <w:tblW w:w="9046" w:type="dxa"/>
        <w:tblInd w:w="447" w:type="dxa"/>
        <w:tblLook w:val="04A0" w:firstRow="1" w:lastRow="0" w:firstColumn="1" w:lastColumn="0" w:noHBand="0" w:noVBand="1"/>
      </w:tblPr>
      <w:tblGrid>
        <w:gridCol w:w="1816"/>
        <w:gridCol w:w="1985"/>
        <w:gridCol w:w="1701"/>
        <w:gridCol w:w="1559"/>
        <w:gridCol w:w="1985"/>
      </w:tblGrid>
      <w:tr w:rsidR="007E4AA6" w14:paraId="5530F7C2" w14:textId="77777777" w:rsidTr="00756D71">
        <w:trPr>
          <w:trHeight w:val="283"/>
        </w:trPr>
        <w:tc>
          <w:tcPr>
            <w:tcW w:w="1816" w:type="dxa"/>
            <w:tcBorders>
              <w:top w:val="single" w:sz="4" w:space="0" w:color="auto"/>
              <w:left w:val="single" w:sz="4" w:space="0" w:color="auto"/>
              <w:bottom w:val="single" w:sz="4" w:space="0" w:color="auto"/>
              <w:right w:val="single" w:sz="4" w:space="0" w:color="auto"/>
            </w:tcBorders>
          </w:tcPr>
          <w:p w14:paraId="5CD030FE" w14:textId="77777777" w:rsidR="007E4AA6" w:rsidRPr="00785EC4" w:rsidRDefault="007E4AA6" w:rsidP="00756D71">
            <w:pPr>
              <w:rPr>
                <w:rFonts w:ascii="Calibri" w:eastAsia="Times New Roman" w:hAnsi="Calibri" w:cs="Calibri"/>
                <w:color w:val="000000"/>
                <w:sz w:val="22"/>
                <w:szCs w:val="22"/>
                <w:lang w:val="fr-CA" w:eastAsia="fr-CA"/>
              </w:rPr>
            </w:pPr>
          </w:p>
        </w:tc>
        <w:tc>
          <w:tcPr>
            <w:tcW w:w="1985" w:type="dxa"/>
            <w:tcBorders>
              <w:top w:val="single" w:sz="4" w:space="0" w:color="auto"/>
              <w:left w:val="single" w:sz="4" w:space="0" w:color="auto"/>
              <w:bottom w:val="single" w:sz="4" w:space="0" w:color="auto"/>
              <w:right w:val="single" w:sz="4" w:space="0" w:color="auto"/>
            </w:tcBorders>
            <w:hideMark/>
          </w:tcPr>
          <w:p w14:paraId="39F4699D" w14:textId="77777777" w:rsidR="007E4AA6" w:rsidRPr="00785EC4" w:rsidRDefault="007E4AA6" w:rsidP="00756D71">
            <w:pPr>
              <w:rPr>
                <w:rFonts w:ascii="Calibri" w:eastAsia="Times New Roman" w:hAnsi="Calibri" w:cs="Calibri"/>
                <w:b/>
                <w:bCs/>
                <w:color w:val="000000"/>
                <w:sz w:val="18"/>
                <w:szCs w:val="18"/>
                <w:lang w:val="fr-CA" w:eastAsia="fr-CA"/>
              </w:rPr>
            </w:pPr>
            <w:r w:rsidRPr="00785EC4">
              <w:rPr>
                <w:rFonts w:ascii="Calibri" w:eastAsia="Times New Roman" w:hAnsi="Calibri" w:cs="Calibri"/>
                <w:b/>
                <w:bCs/>
                <w:color w:val="000000"/>
                <w:sz w:val="18"/>
                <w:szCs w:val="18"/>
                <w:lang w:val="fr-CA" w:eastAsia="fr-CA"/>
              </w:rPr>
              <w:t xml:space="preserve">Taux de rémunération (salaire </w:t>
            </w:r>
            <w:r>
              <w:rPr>
                <w:rFonts w:ascii="Calibri" w:eastAsia="Times New Roman" w:hAnsi="Calibri" w:cs="Calibri"/>
                <w:b/>
                <w:bCs/>
                <w:color w:val="000000"/>
                <w:sz w:val="18"/>
                <w:szCs w:val="18"/>
                <w:lang w:val="fr-CA" w:eastAsia="fr-CA"/>
              </w:rPr>
              <w:t xml:space="preserve">horaire </w:t>
            </w:r>
            <w:r w:rsidRPr="00785EC4">
              <w:rPr>
                <w:rFonts w:ascii="Calibri" w:eastAsia="Times New Roman" w:hAnsi="Calibri" w:cs="Calibri"/>
                <w:b/>
                <w:bCs/>
                <w:color w:val="000000"/>
                <w:sz w:val="18"/>
                <w:szCs w:val="18"/>
                <w:lang w:val="fr-CA" w:eastAsia="fr-CA"/>
              </w:rPr>
              <w:t>de base)</w:t>
            </w:r>
          </w:p>
        </w:tc>
        <w:tc>
          <w:tcPr>
            <w:tcW w:w="1701" w:type="dxa"/>
            <w:tcBorders>
              <w:top w:val="single" w:sz="4" w:space="0" w:color="auto"/>
              <w:left w:val="single" w:sz="4" w:space="0" w:color="auto"/>
              <w:bottom w:val="single" w:sz="4" w:space="0" w:color="auto"/>
              <w:right w:val="single" w:sz="4" w:space="0" w:color="auto"/>
            </w:tcBorders>
            <w:hideMark/>
          </w:tcPr>
          <w:p w14:paraId="7084856C" w14:textId="77777777" w:rsidR="007E4AA6" w:rsidRPr="002762DE" w:rsidRDefault="007E4AA6" w:rsidP="00756D71">
            <w:pPr>
              <w:rPr>
                <w:rFonts w:ascii="Calibri" w:eastAsia="Times New Roman" w:hAnsi="Calibri" w:cs="Calibri"/>
                <w:b/>
                <w:bCs/>
                <w:color w:val="000000"/>
                <w:sz w:val="18"/>
                <w:szCs w:val="18"/>
                <w:lang w:val="fr-CA" w:eastAsia="fr-CA"/>
              </w:rPr>
            </w:pPr>
            <w:r w:rsidRPr="004500BF">
              <w:rPr>
                <w:rFonts w:ascii="Calibri" w:eastAsia="Times New Roman" w:hAnsi="Calibri" w:cs="Calibri"/>
                <w:b/>
                <w:bCs/>
                <w:color w:val="000000"/>
                <w:sz w:val="18"/>
                <w:szCs w:val="18"/>
                <w:lang w:eastAsia="fr-CA"/>
              </w:rPr>
              <w:t xml:space="preserve">Nombre de congés personnels </w:t>
            </w:r>
          </w:p>
        </w:tc>
        <w:tc>
          <w:tcPr>
            <w:tcW w:w="1559" w:type="dxa"/>
            <w:tcBorders>
              <w:top w:val="single" w:sz="4" w:space="0" w:color="auto"/>
              <w:left w:val="single" w:sz="4" w:space="0" w:color="auto"/>
              <w:bottom w:val="single" w:sz="4" w:space="0" w:color="auto"/>
              <w:right w:val="single" w:sz="4" w:space="0" w:color="auto"/>
            </w:tcBorders>
            <w:hideMark/>
          </w:tcPr>
          <w:p w14:paraId="26FF74D3" w14:textId="77777777" w:rsidR="007E4AA6" w:rsidRPr="002762DE" w:rsidRDefault="007E4AA6" w:rsidP="00756D71">
            <w:pPr>
              <w:rPr>
                <w:rFonts w:ascii="Calibri" w:eastAsia="Times New Roman" w:hAnsi="Calibri" w:cs="Calibri"/>
                <w:b/>
                <w:bCs/>
                <w:color w:val="000000"/>
                <w:sz w:val="18"/>
                <w:szCs w:val="18"/>
                <w:lang w:val="fr-CA" w:eastAsia="fr-CA"/>
              </w:rPr>
            </w:pPr>
            <w:r w:rsidRPr="00D35B77">
              <w:rPr>
                <w:rFonts w:ascii="Calibri" w:eastAsia="Times New Roman" w:hAnsi="Calibri" w:cs="Calibri"/>
                <w:b/>
                <w:bCs/>
                <w:color w:val="000000"/>
                <w:sz w:val="18"/>
                <w:szCs w:val="18"/>
                <w:lang w:val="fr-CA" w:eastAsia="fr-CA"/>
              </w:rPr>
              <w:t>Nombre de congés</w:t>
            </w:r>
            <w:r>
              <w:rPr>
                <w:rFonts w:ascii="Calibri" w:eastAsia="Times New Roman" w:hAnsi="Calibri" w:cs="Calibri"/>
                <w:b/>
                <w:bCs/>
                <w:color w:val="000000"/>
                <w:sz w:val="18"/>
                <w:szCs w:val="18"/>
                <w:lang w:val="fr-CA" w:eastAsia="fr-CA"/>
              </w:rPr>
              <w:t xml:space="preserve"> de</w:t>
            </w:r>
            <w:r w:rsidRPr="00D35B77">
              <w:rPr>
                <w:rFonts w:ascii="Calibri" w:eastAsia="Times New Roman" w:hAnsi="Calibri" w:cs="Calibri"/>
                <w:b/>
                <w:bCs/>
                <w:color w:val="000000"/>
                <w:sz w:val="18"/>
                <w:szCs w:val="18"/>
                <w:lang w:val="fr-CA" w:eastAsia="fr-CA"/>
              </w:rPr>
              <w:t xml:space="preserve"> maladie </w:t>
            </w:r>
          </w:p>
        </w:tc>
        <w:tc>
          <w:tcPr>
            <w:tcW w:w="1985" w:type="dxa"/>
            <w:tcBorders>
              <w:top w:val="single" w:sz="4" w:space="0" w:color="auto"/>
              <w:left w:val="single" w:sz="4" w:space="0" w:color="auto"/>
              <w:bottom w:val="single" w:sz="4" w:space="0" w:color="auto"/>
              <w:right w:val="single" w:sz="4" w:space="0" w:color="auto"/>
            </w:tcBorders>
            <w:hideMark/>
          </w:tcPr>
          <w:p w14:paraId="31318E68" w14:textId="77777777" w:rsidR="007E4AA6" w:rsidRPr="002762DE" w:rsidRDefault="007E4AA6" w:rsidP="00756D71">
            <w:pPr>
              <w:rPr>
                <w:rFonts w:ascii="Calibri" w:eastAsia="Times New Roman" w:hAnsi="Calibri" w:cs="Calibri"/>
                <w:b/>
                <w:bCs/>
                <w:color w:val="000000"/>
                <w:sz w:val="18"/>
                <w:szCs w:val="18"/>
                <w:lang w:val="fr-CA" w:eastAsia="fr-CA"/>
              </w:rPr>
            </w:pPr>
            <w:r w:rsidRPr="004500BF">
              <w:rPr>
                <w:rFonts w:ascii="Calibri" w:eastAsia="Times New Roman" w:hAnsi="Calibri" w:cs="Calibri"/>
                <w:b/>
                <w:bCs/>
                <w:color w:val="000000"/>
                <w:sz w:val="18"/>
                <w:szCs w:val="18"/>
                <w:lang w:eastAsia="fr-CA"/>
              </w:rPr>
              <w:t xml:space="preserve">Régime de vacances </w:t>
            </w:r>
          </w:p>
        </w:tc>
      </w:tr>
      <w:tr w:rsidR="007E4AA6" w14:paraId="7FC9F3B2" w14:textId="77777777" w:rsidTr="00756D71">
        <w:trPr>
          <w:trHeight w:val="717"/>
        </w:trPr>
        <w:tc>
          <w:tcPr>
            <w:tcW w:w="1816" w:type="dxa"/>
            <w:tcBorders>
              <w:top w:val="single" w:sz="4" w:space="0" w:color="auto"/>
              <w:left w:val="single" w:sz="4" w:space="0" w:color="auto"/>
              <w:bottom w:val="single" w:sz="4" w:space="0" w:color="auto"/>
              <w:right w:val="single" w:sz="4" w:space="0" w:color="auto"/>
            </w:tcBorders>
            <w:vAlign w:val="center"/>
            <w:hideMark/>
          </w:tcPr>
          <w:p w14:paraId="529DAE5C" w14:textId="77777777" w:rsidR="007E4AA6" w:rsidRPr="002762DE" w:rsidRDefault="007E4AA6" w:rsidP="00756D71">
            <w:pPr>
              <w:rPr>
                <w:rFonts w:ascii="Calibri" w:eastAsia="Times New Roman" w:hAnsi="Calibri" w:cs="Calibri"/>
                <w:color w:val="000000"/>
                <w:sz w:val="22"/>
                <w:szCs w:val="22"/>
                <w:lang w:val="fr-CA" w:eastAsia="fr-CA"/>
              </w:rPr>
            </w:pPr>
            <w:r w:rsidRPr="004500BF">
              <w:rPr>
                <w:rFonts w:ascii="Calibri" w:eastAsia="Times New Roman" w:hAnsi="Calibri" w:cs="Calibri"/>
                <w:color w:val="000000"/>
                <w:lang w:eastAsia="fr-CA"/>
              </w:rPr>
              <w:t>Intervenante – temps plein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36D3F2" w14:textId="77777777" w:rsidR="007E4AA6" w:rsidRDefault="007E4AA6" w:rsidP="00756D71">
            <w:pPr>
              <w:jc w:val="center"/>
              <w:rPr>
                <w:rFonts w:ascii="Calibri" w:eastAsia="Times New Roman" w:hAnsi="Calibri" w:cs="Calibri"/>
                <w:color w:val="000000"/>
                <w:sz w:val="22"/>
                <w:szCs w:val="22"/>
                <w:lang w:eastAsia="fr-CA"/>
              </w:rPr>
            </w:pPr>
            <w:r>
              <w:rPr>
                <w:rFonts w:ascii="Calibri" w:eastAsia="Times New Roman" w:hAnsi="Calibri" w:cs="Calibri"/>
                <w:color w:val="000000"/>
                <w:sz w:val="22"/>
                <w:szCs w:val="22"/>
                <w:lang w:eastAsia="fr-CA"/>
              </w:rPr>
              <w:t>28 $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6D9A33" w14:textId="77777777" w:rsidR="007E4AA6" w:rsidRPr="002762DE" w:rsidRDefault="007E4AA6" w:rsidP="00756D71">
            <w:pPr>
              <w:jc w:val="center"/>
              <w:rPr>
                <w:rFonts w:ascii="Calibri" w:eastAsia="Times New Roman" w:hAnsi="Calibri" w:cs="Calibri"/>
                <w:color w:val="000000"/>
                <w:sz w:val="22"/>
                <w:szCs w:val="22"/>
                <w:lang w:val="fr-CA" w:eastAsia="fr-CA"/>
              </w:rPr>
            </w:pPr>
            <w:r w:rsidRPr="004500BF">
              <w:rPr>
                <w:rFonts w:ascii="Calibri" w:eastAsia="Times New Roman" w:hAnsi="Calibri" w:cs="Calibri"/>
                <w:color w:val="000000"/>
                <w:lang w:eastAsia="fr-CA"/>
              </w:rPr>
              <w:t xml:space="preserve">6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C13B3F" w14:textId="77777777" w:rsidR="007E4AA6" w:rsidRDefault="007E4AA6" w:rsidP="00756D71">
            <w:pPr>
              <w:jc w:val="center"/>
              <w:rPr>
                <w:rFonts w:ascii="Calibri" w:eastAsia="Times New Roman" w:hAnsi="Calibri" w:cs="Calibri"/>
                <w:color w:val="000000"/>
                <w:sz w:val="22"/>
                <w:szCs w:val="22"/>
                <w:lang w:eastAsia="fr-CA"/>
              </w:rPr>
            </w:pPr>
            <w:r>
              <w:rPr>
                <w:rFonts w:ascii="Calibri" w:eastAsia="Times New Roman" w:hAnsi="Calibri" w:cs="Calibri"/>
                <w:color w:val="000000"/>
                <w:sz w:val="22"/>
                <w:szCs w:val="22"/>
                <w:lang w:eastAsia="fr-CA"/>
              </w:rPr>
              <w:t xml:space="preserve">6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0A9384" w14:textId="77777777" w:rsidR="007E4AA6" w:rsidRPr="002762DE" w:rsidRDefault="007E4AA6" w:rsidP="00756D71">
            <w:pPr>
              <w:jc w:val="center"/>
              <w:rPr>
                <w:rFonts w:ascii="Calibri" w:eastAsia="Times New Roman" w:hAnsi="Calibri" w:cs="Calibri"/>
                <w:color w:val="000000"/>
                <w:sz w:val="22"/>
                <w:szCs w:val="22"/>
                <w:lang w:val="fr-CA" w:eastAsia="fr-CA"/>
              </w:rPr>
            </w:pPr>
            <w:r w:rsidRPr="00D65C53">
              <w:rPr>
                <w:rFonts w:ascii="Calibri" w:eastAsia="Times New Roman" w:hAnsi="Calibri" w:cs="Calibri"/>
                <w:color w:val="000000"/>
                <w:lang w:eastAsia="fr-CA"/>
              </w:rPr>
              <w:t>4 semaines dès l’embauche</w:t>
            </w:r>
          </w:p>
        </w:tc>
      </w:tr>
      <w:tr w:rsidR="007E4AA6" w14:paraId="750249DC" w14:textId="77777777" w:rsidTr="00756D71">
        <w:trPr>
          <w:trHeight w:val="738"/>
        </w:trPr>
        <w:tc>
          <w:tcPr>
            <w:tcW w:w="1816" w:type="dxa"/>
            <w:tcBorders>
              <w:top w:val="single" w:sz="4" w:space="0" w:color="auto"/>
              <w:left w:val="single" w:sz="4" w:space="0" w:color="auto"/>
              <w:bottom w:val="single" w:sz="4" w:space="0" w:color="auto"/>
              <w:right w:val="single" w:sz="4" w:space="0" w:color="auto"/>
            </w:tcBorders>
            <w:vAlign w:val="center"/>
            <w:hideMark/>
          </w:tcPr>
          <w:p w14:paraId="0196F9D4" w14:textId="77777777" w:rsidR="007E4AA6" w:rsidRPr="002762DE" w:rsidRDefault="007E4AA6" w:rsidP="00756D71">
            <w:pPr>
              <w:rPr>
                <w:rFonts w:ascii="Calibri" w:eastAsia="Times New Roman" w:hAnsi="Calibri" w:cs="Calibri"/>
                <w:color w:val="000000"/>
                <w:sz w:val="22"/>
                <w:szCs w:val="22"/>
                <w:lang w:val="fr-CA" w:eastAsia="fr-CA"/>
              </w:rPr>
            </w:pPr>
            <w:r w:rsidRPr="00D65C53">
              <w:rPr>
                <w:rFonts w:ascii="Calibri" w:eastAsia="Times New Roman" w:hAnsi="Calibri" w:cs="Calibri"/>
                <w:color w:val="000000"/>
                <w:lang w:eastAsia="fr-CA"/>
              </w:rPr>
              <w:t xml:space="preserve">Intervenante – temps partiel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FAE327" w14:textId="77777777" w:rsidR="007E4AA6" w:rsidRDefault="007E4AA6" w:rsidP="00756D71">
            <w:pPr>
              <w:jc w:val="center"/>
              <w:rPr>
                <w:rFonts w:ascii="Calibri" w:eastAsia="Times New Roman" w:hAnsi="Calibri" w:cs="Calibri"/>
                <w:color w:val="000000"/>
                <w:sz w:val="22"/>
                <w:szCs w:val="22"/>
                <w:lang w:eastAsia="fr-CA"/>
              </w:rPr>
            </w:pPr>
            <w:r>
              <w:rPr>
                <w:rFonts w:ascii="Calibri" w:eastAsia="Times New Roman" w:hAnsi="Calibri" w:cs="Calibri"/>
                <w:color w:val="000000"/>
                <w:sz w:val="22"/>
                <w:szCs w:val="22"/>
                <w:lang w:eastAsia="fr-CA"/>
              </w:rPr>
              <w:t>28 $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E91E4C" w14:textId="77777777" w:rsidR="007E4AA6" w:rsidRPr="002762DE" w:rsidRDefault="007E4AA6" w:rsidP="00756D71">
            <w:pPr>
              <w:jc w:val="center"/>
              <w:rPr>
                <w:rFonts w:ascii="Calibri" w:eastAsia="Times New Roman" w:hAnsi="Calibri" w:cs="Calibri"/>
                <w:color w:val="000000"/>
                <w:sz w:val="22"/>
                <w:szCs w:val="22"/>
                <w:lang w:val="fr-CA" w:eastAsia="fr-CA"/>
              </w:rPr>
            </w:pPr>
            <w:r w:rsidRPr="004500BF">
              <w:rPr>
                <w:rFonts w:ascii="Calibri" w:eastAsia="Times New Roman" w:hAnsi="Calibri" w:cs="Calibri"/>
                <w:color w:val="000000"/>
                <w:lang w:eastAsia="fr-CA"/>
              </w:rPr>
              <w:t xml:space="preserve">6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3C0165" w14:textId="77777777" w:rsidR="007E4AA6" w:rsidRDefault="007E4AA6" w:rsidP="00756D71">
            <w:pPr>
              <w:jc w:val="center"/>
              <w:rPr>
                <w:rFonts w:ascii="Calibri" w:eastAsia="Times New Roman" w:hAnsi="Calibri" w:cs="Calibri"/>
                <w:color w:val="000000"/>
                <w:sz w:val="22"/>
                <w:szCs w:val="22"/>
                <w:lang w:eastAsia="fr-CA"/>
              </w:rPr>
            </w:pPr>
            <w:r>
              <w:rPr>
                <w:rFonts w:ascii="Calibri" w:eastAsia="Times New Roman" w:hAnsi="Calibri" w:cs="Calibri"/>
                <w:color w:val="000000"/>
                <w:sz w:val="22"/>
                <w:szCs w:val="22"/>
                <w:lang w:eastAsia="fr-CA"/>
              </w:rPr>
              <w:t xml:space="preserve">6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90E4F3B" w14:textId="77777777" w:rsidR="007E4AA6" w:rsidRPr="002762DE" w:rsidRDefault="007E4AA6" w:rsidP="00756D71">
            <w:pPr>
              <w:jc w:val="center"/>
              <w:rPr>
                <w:rFonts w:ascii="Calibri" w:eastAsia="Times New Roman" w:hAnsi="Calibri" w:cs="Calibri"/>
                <w:color w:val="000000"/>
                <w:sz w:val="22"/>
                <w:szCs w:val="22"/>
                <w:lang w:val="fr-CA" w:eastAsia="fr-CA"/>
              </w:rPr>
            </w:pPr>
            <w:r w:rsidRPr="00D65C53">
              <w:rPr>
                <w:rFonts w:ascii="Calibri" w:eastAsia="Times New Roman" w:hAnsi="Calibri" w:cs="Calibri"/>
                <w:color w:val="000000"/>
                <w:lang w:eastAsia="fr-CA"/>
              </w:rPr>
              <w:t>4 semaines dès l’embauche</w:t>
            </w:r>
          </w:p>
        </w:tc>
      </w:tr>
      <w:tr w:rsidR="007E4AA6" w14:paraId="18528E5E" w14:textId="77777777" w:rsidTr="00756D71">
        <w:trPr>
          <w:trHeight w:val="808"/>
        </w:trPr>
        <w:tc>
          <w:tcPr>
            <w:tcW w:w="1816" w:type="dxa"/>
            <w:tcBorders>
              <w:top w:val="single" w:sz="4" w:space="0" w:color="auto"/>
              <w:left w:val="single" w:sz="4" w:space="0" w:color="auto"/>
              <w:bottom w:val="single" w:sz="4" w:space="0" w:color="auto"/>
              <w:right w:val="single" w:sz="4" w:space="0" w:color="auto"/>
            </w:tcBorders>
            <w:vAlign w:val="center"/>
            <w:hideMark/>
          </w:tcPr>
          <w:p w14:paraId="73D860B9" w14:textId="77777777" w:rsidR="007E4AA6" w:rsidRPr="002762DE" w:rsidRDefault="007E4AA6" w:rsidP="00756D71">
            <w:pPr>
              <w:rPr>
                <w:rFonts w:ascii="Calibri" w:eastAsia="Times New Roman" w:hAnsi="Calibri" w:cs="Calibri"/>
                <w:color w:val="000000"/>
                <w:sz w:val="22"/>
                <w:szCs w:val="22"/>
                <w:lang w:val="fr-CA" w:eastAsia="fr-CA"/>
              </w:rPr>
            </w:pPr>
            <w:r w:rsidRPr="004500BF">
              <w:rPr>
                <w:rFonts w:ascii="Calibri" w:eastAsia="Times New Roman" w:hAnsi="Calibri" w:cs="Calibri"/>
                <w:color w:val="000000"/>
                <w:lang w:eastAsia="fr-CA"/>
              </w:rPr>
              <w:t xml:space="preserve">Directrice de l’organisme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039750" w14:textId="77777777" w:rsidR="007E4AA6" w:rsidRDefault="007E4AA6" w:rsidP="00756D71">
            <w:pPr>
              <w:jc w:val="center"/>
              <w:rPr>
                <w:rFonts w:ascii="Calibri" w:eastAsia="Times New Roman" w:hAnsi="Calibri" w:cs="Calibri"/>
                <w:color w:val="000000"/>
                <w:sz w:val="22"/>
                <w:szCs w:val="22"/>
                <w:lang w:eastAsia="fr-CA"/>
              </w:rPr>
            </w:pPr>
            <w:r>
              <w:rPr>
                <w:rFonts w:ascii="Calibri" w:eastAsia="Times New Roman" w:hAnsi="Calibri" w:cs="Calibri"/>
                <w:color w:val="000000"/>
                <w:sz w:val="22"/>
                <w:szCs w:val="22"/>
                <w:lang w:eastAsia="fr-CA"/>
              </w:rPr>
              <w:t>28 $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D0A683" w14:textId="77777777" w:rsidR="007E4AA6" w:rsidRPr="002762DE" w:rsidRDefault="007E4AA6" w:rsidP="00756D71">
            <w:pPr>
              <w:jc w:val="center"/>
              <w:rPr>
                <w:rFonts w:ascii="Calibri" w:eastAsia="Times New Roman" w:hAnsi="Calibri" w:cs="Calibri"/>
                <w:color w:val="000000"/>
                <w:sz w:val="22"/>
                <w:szCs w:val="22"/>
                <w:lang w:val="fr-CA" w:eastAsia="fr-CA"/>
              </w:rPr>
            </w:pPr>
            <w:r w:rsidRPr="004500BF">
              <w:rPr>
                <w:rFonts w:ascii="Calibri" w:eastAsia="Times New Roman" w:hAnsi="Calibri" w:cs="Calibri"/>
                <w:color w:val="000000"/>
                <w:lang w:eastAsia="fr-CA"/>
              </w:rPr>
              <w:t xml:space="preserve">6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90D03E" w14:textId="77777777" w:rsidR="007E4AA6" w:rsidRDefault="007E4AA6" w:rsidP="00756D71">
            <w:pPr>
              <w:jc w:val="center"/>
              <w:rPr>
                <w:rFonts w:ascii="Calibri" w:eastAsia="Times New Roman" w:hAnsi="Calibri" w:cs="Calibri"/>
                <w:color w:val="000000"/>
                <w:sz w:val="22"/>
                <w:szCs w:val="22"/>
                <w:lang w:eastAsia="fr-CA"/>
              </w:rPr>
            </w:pPr>
            <w:r>
              <w:rPr>
                <w:rFonts w:ascii="Calibri" w:eastAsia="Times New Roman" w:hAnsi="Calibri" w:cs="Calibri"/>
                <w:color w:val="000000"/>
                <w:sz w:val="22"/>
                <w:szCs w:val="22"/>
                <w:lang w:eastAsia="fr-CA"/>
              </w:rPr>
              <w:t xml:space="preserve">6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91E6DE" w14:textId="77777777" w:rsidR="007E4AA6" w:rsidRPr="002762DE" w:rsidRDefault="007E4AA6" w:rsidP="00756D71">
            <w:pPr>
              <w:jc w:val="center"/>
              <w:rPr>
                <w:rFonts w:ascii="Calibri" w:eastAsia="Times New Roman" w:hAnsi="Calibri" w:cs="Calibri"/>
                <w:color w:val="000000"/>
                <w:sz w:val="22"/>
                <w:szCs w:val="22"/>
                <w:lang w:val="fr-CA" w:eastAsia="fr-CA"/>
              </w:rPr>
            </w:pPr>
            <w:r w:rsidRPr="00D65C53">
              <w:rPr>
                <w:rFonts w:ascii="Calibri" w:eastAsia="Times New Roman" w:hAnsi="Calibri" w:cs="Calibri"/>
                <w:color w:val="000000"/>
                <w:lang w:eastAsia="fr-CA"/>
              </w:rPr>
              <w:t>4 semaines dès l’embauche</w:t>
            </w:r>
          </w:p>
        </w:tc>
      </w:tr>
    </w:tbl>
    <w:p w14:paraId="3FBD5088" w14:textId="70D6C251" w:rsidR="007E4AA6" w:rsidRPr="007E4AA6" w:rsidRDefault="007E4AA6" w:rsidP="007E4AA6">
      <w:pPr>
        <w:spacing w:before="240"/>
        <w:rPr>
          <w:lang w:eastAsia="fr-CA"/>
        </w:rPr>
      </w:pPr>
      <w:r>
        <w:rPr>
          <w:lang w:eastAsia="fr-CA"/>
        </w:rPr>
        <w:t xml:space="preserve">Les conditions liées à la rémunération globale sont les mêmes pour l’ensemble des catégories d’emplois, tant pour les salariées présentes depuis plusieurs années que pour celles qui joignent l’équipe. </w:t>
      </w:r>
    </w:p>
    <w:p w14:paraId="61F82014" w14:textId="77777777" w:rsidR="007E4AA6" w:rsidRDefault="007E4AA6" w:rsidP="007E4AA6">
      <w:pPr>
        <w:spacing w:before="240"/>
        <w:rPr>
          <w:lang w:eastAsia="fr-CA"/>
        </w:rPr>
      </w:pPr>
      <w:r>
        <w:rPr>
          <w:lang w:eastAsia="fr-CA"/>
        </w:rPr>
        <w:t>Devant les questionnements des salariées, Nicole s’interroge quant au principe d’équité et à l’approche de rémunération utilisée depuis la création de l’organisme. Elle fait appel à vous afin que vous puissiez l’aider à adopter une position éclairée dans ce dossier. Voici les questions qu’elle vous soumet.</w:t>
      </w:r>
    </w:p>
    <w:p w14:paraId="06F38625" w14:textId="77777777" w:rsidR="007E4AA6" w:rsidRPr="00917554" w:rsidRDefault="007E4AA6" w:rsidP="007E4AA6">
      <w:pPr>
        <w:pStyle w:val="Titre4"/>
        <w:rPr>
          <w:rFonts w:eastAsia="Times New Roman"/>
          <w:lang w:eastAsia="fr-CA"/>
        </w:rPr>
      </w:pPr>
      <w:r w:rsidRPr="002762DE">
        <w:rPr>
          <w:rFonts w:eastAsia="Times New Roman"/>
          <w:lang w:eastAsia="fr-CA"/>
        </w:rPr>
        <w:t>Questions</w:t>
      </w:r>
    </w:p>
    <w:p w14:paraId="476DFBFA" w14:textId="65E8620C" w:rsidR="007E4AA6" w:rsidRDefault="007E4AA6" w:rsidP="008559AE">
      <w:pPr>
        <w:pStyle w:val="Paragraphedeliste"/>
        <w:numPr>
          <w:ilvl w:val="0"/>
          <w:numId w:val="2"/>
        </w:numPr>
        <w:rPr>
          <w:lang w:eastAsia="fr-CA"/>
        </w:rPr>
      </w:pPr>
      <w:r>
        <w:rPr>
          <w:lang w:eastAsia="fr-CA"/>
        </w:rPr>
        <w:t>Comment distinguer l’équité de l’égalité en matière de rémunération directe ?</w:t>
      </w:r>
    </w:p>
    <w:p w14:paraId="61688B0C" w14:textId="4EB2FF32" w:rsidR="007E4AA6" w:rsidRDefault="007E4AA6" w:rsidP="008559AE">
      <w:pPr>
        <w:pStyle w:val="Paragraphedeliste"/>
        <w:numPr>
          <w:ilvl w:val="0"/>
          <w:numId w:val="2"/>
        </w:numPr>
        <w:rPr>
          <w:lang w:eastAsia="fr-CA"/>
        </w:rPr>
      </w:pPr>
      <w:r>
        <w:rPr>
          <w:lang w:eastAsia="fr-CA"/>
        </w:rPr>
        <w:t xml:space="preserve">Que peuvent être les impacts à court et à moyen terme, à l’interne, de cette approche de rémunération dans un organisme comme </w:t>
      </w:r>
      <w:r w:rsidRPr="007E4AA6">
        <w:rPr>
          <w:iCs/>
          <w:lang w:eastAsia="fr-CA"/>
        </w:rPr>
        <w:t>Aide victimes</w:t>
      </w:r>
      <w:r>
        <w:rPr>
          <w:lang w:eastAsia="fr-CA"/>
        </w:rPr>
        <w:t> ?</w:t>
      </w:r>
    </w:p>
    <w:p w14:paraId="02AB346A" w14:textId="1E7A0C40" w:rsidR="007E4AA6" w:rsidRDefault="007E4AA6" w:rsidP="008559AE">
      <w:pPr>
        <w:pStyle w:val="Paragraphedeliste"/>
        <w:numPr>
          <w:ilvl w:val="0"/>
          <w:numId w:val="2"/>
        </w:numPr>
        <w:rPr>
          <w:lang w:eastAsia="fr-CA"/>
        </w:rPr>
      </w:pPr>
      <w:r>
        <w:rPr>
          <w:lang w:eastAsia="fr-CA"/>
        </w:rPr>
        <w:t>Ce mode d’attribution de la rémunération peut-il être remis en question dans un contexte de rareté de main-d’œuvre (attraction et rétention) ?</w:t>
      </w:r>
    </w:p>
    <w:p w14:paraId="7D066CF1" w14:textId="7742A2D5" w:rsidR="007E4AA6" w:rsidRDefault="007E4AA6" w:rsidP="008559AE">
      <w:pPr>
        <w:pStyle w:val="Paragraphedeliste"/>
        <w:numPr>
          <w:ilvl w:val="0"/>
          <w:numId w:val="2"/>
        </w:numPr>
        <w:rPr>
          <w:lang w:eastAsia="fr-CA"/>
        </w:rPr>
      </w:pPr>
      <w:r>
        <w:rPr>
          <w:lang w:eastAsia="fr-CA"/>
        </w:rPr>
        <w:t xml:space="preserve">Est-il légal, au Canada et au Québec, de rémunérer les employés selon le principe du salaire égal pour un travail égal, sans tenir compte de l’expérience ou des compétences de l’employé ? </w:t>
      </w:r>
    </w:p>
    <w:p w14:paraId="7A8E60B8" w14:textId="77777777" w:rsidR="007E4AA6" w:rsidRDefault="007E4AA6" w:rsidP="007E4AA6">
      <w:pPr>
        <w:spacing w:line="276" w:lineRule="auto"/>
        <w:rPr>
          <w:rFonts w:asciiTheme="majorHAnsi" w:hAnsiTheme="majorHAnsi"/>
        </w:rPr>
      </w:pPr>
    </w:p>
    <w:p w14:paraId="73CD6212" w14:textId="42EE2934" w:rsidR="007E4AA6" w:rsidRPr="00B06E31" w:rsidRDefault="00B06E31" w:rsidP="00B06E31">
      <w:pPr>
        <w:pStyle w:val="Titre2"/>
      </w:pPr>
      <w:r w:rsidRPr="00B06E31">
        <w:t>Notes pédagogiques</w:t>
      </w:r>
      <w:r>
        <w:t xml:space="preserve"> (à venir)</w:t>
      </w:r>
      <w:bookmarkStart w:id="0" w:name="_GoBack"/>
      <w:bookmarkEnd w:id="0"/>
    </w:p>
    <w:p w14:paraId="453EA283" w14:textId="77777777" w:rsidR="00174253" w:rsidRPr="007E4AA6" w:rsidRDefault="00174253" w:rsidP="007E4AA6"/>
    <w:sectPr w:rsidR="00174253" w:rsidRPr="007E4AA6" w:rsidSect="009C34F9">
      <w:headerReference w:type="default" r:id="rId8"/>
      <w:footerReference w:type="even" r:id="rId9"/>
      <w:footerReference w:type="default" r:id="rId10"/>
      <w:headerReference w:type="first" r:id="rId11"/>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EAF23" w14:textId="77777777" w:rsidR="002E680D" w:rsidRDefault="002E680D" w:rsidP="00D14FC7">
      <w:r>
        <w:separator/>
      </w:r>
    </w:p>
  </w:endnote>
  <w:endnote w:type="continuationSeparator" w:id="0">
    <w:p w14:paraId="4F445C69" w14:textId="77777777" w:rsidR="002E680D" w:rsidRDefault="002E680D"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8BD44" w14:textId="77777777" w:rsidR="002E680D" w:rsidRDefault="002E680D" w:rsidP="00D14FC7">
      <w:r>
        <w:separator/>
      </w:r>
    </w:p>
  </w:footnote>
  <w:footnote w:type="continuationSeparator" w:id="0">
    <w:p w14:paraId="566465DB" w14:textId="77777777" w:rsidR="002E680D" w:rsidRDefault="002E680D"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526D5794"/>
    <w:multiLevelType w:val="hybridMultilevel"/>
    <w:tmpl w:val="272065C0"/>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3A45"/>
    <w:rsid w:val="000117E5"/>
    <w:rsid w:val="000236DA"/>
    <w:rsid w:val="00030663"/>
    <w:rsid w:val="000313EC"/>
    <w:rsid w:val="0004419A"/>
    <w:rsid w:val="00071FF2"/>
    <w:rsid w:val="00082653"/>
    <w:rsid w:val="00084EEF"/>
    <w:rsid w:val="00094076"/>
    <w:rsid w:val="000A0F37"/>
    <w:rsid w:val="000A17FB"/>
    <w:rsid w:val="000A4484"/>
    <w:rsid w:val="000B3DEF"/>
    <w:rsid w:val="001056F5"/>
    <w:rsid w:val="0013209B"/>
    <w:rsid w:val="00142ED2"/>
    <w:rsid w:val="00174253"/>
    <w:rsid w:val="0019439E"/>
    <w:rsid w:val="001B44CC"/>
    <w:rsid w:val="001C163A"/>
    <w:rsid w:val="001C3D40"/>
    <w:rsid w:val="001D5E55"/>
    <w:rsid w:val="0021779E"/>
    <w:rsid w:val="00224F16"/>
    <w:rsid w:val="00225221"/>
    <w:rsid w:val="0023625D"/>
    <w:rsid w:val="00241F9B"/>
    <w:rsid w:val="002617B4"/>
    <w:rsid w:val="00275CB8"/>
    <w:rsid w:val="00276B8A"/>
    <w:rsid w:val="00281F62"/>
    <w:rsid w:val="00286546"/>
    <w:rsid w:val="0029560F"/>
    <w:rsid w:val="002974B8"/>
    <w:rsid w:val="002A2AB1"/>
    <w:rsid w:val="002A5243"/>
    <w:rsid w:val="002D1353"/>
    <w:rsid w:val="002D2D24"/>
    <w:rsid w:val="002E0C2F"/>
    <w:rsid w:val="002E680D"/>
    <w:rsid w:val="002F765D"/>
    <w:rsid w:val="0030780C"/>
    <w:rsid w:val="00333464"/>
    <w:rsid w:val="00365B71"/>
    <w:rsid w:val="003674F0"/>
    <w:rsid w:val="00380C1A"/>
    <w:rsid w:val="00384806"/>
    <w:rsid w:val="0039065D"/>
    <w:rsid w:val="0039324B"/>
    <w:rsid w:val="003A6FDE"/>
    <w:rsid w:val="003B4AFD"/>
    <w:rsid w:val="003B5704"/>
    <w:rsid w:val="003C092B"/>
    <w:rsid w:val="003F0FA5"/>
    <w:rsid w:val="0040264C"/>
    <w:rsid w:val="0042359E"/>
    <w:rsid w:val="00431547"/>
    <w:rsid w:val="00433A44"/>
    <w:rsid w:val="00441070"/>
    <w:rsid w:val="00460D86"/>
    <w:rsid w:val="0047121E"/>
    <w:rsid w:val="004741A6"/>
    <w:rsid w:val="00476779"/>
    <w:rsid w:val="004833AD"/>
    <w:rsid w:val="004A0850"/>
    <w:rsid w:val="004A34A6"/>
    <w:rsid w:val="004B7029"/>
    <w:rsid w:val="004B7DB2"/>
    <w:rsid w:val="004C15D3"/>
    <w:rsid w:val="004D7D38"/>
    <w:rsid w:val="004E52B7"/>
    <w:rsid w:val="004F2807"/>
    <w:rsid w:val="004F70DC"/>
    <w:rsid w:val="00500FFF"/>
    <w:rsid w:val="005044A8"/>
    <w:rsid w:val="005274DE"/>
    <w:rsid w:val="0053271D"/>
    <w:rsid w:val="00532C38"/>
    <w:rsid w:val="00551C2F"/>
    <w:rsid w:val="00554CDB"/>
    <w:rsid w:val="005576FE"/>
    <w:rsid w:val="00571604"/>
    <w:rsid w:val="00574BEF"/>
    <w:rsid w:val="00576355"/>
    <w:rsid w:val="00582B23"/>
    <w:rsid w:val="005A02C4"/>
    <w:rsid w:val="005A21A9"/>
    <w:rsid w:val="005C72BF"/>
    <w:rsid w:val="005D7389"/>
    <w:rsid w:val="00606B59"/>
    <w:rsid w:val="006230F9"/>
    <w:rsid w:val="00623846"/>
    <w:rsid w:val="00624343"/>
    <w:rsid w:val="006244B4"/>
    <w:rsid w:val="00672805"/>
    <w:rsid w:val="00682A23"/>
    <w:rsid w:val="00683029"/>
    <w:rsid w:val="006927B2"/>
    <w:rsid w:val="006A6A90"/>
    <w:rsid w:val="006C4E5F"/>
    <w:rsid w:val="006D1A2D"/>
    <w:rsid w:val="006E13B4"/>
    <w:rsid w:val="006E34ED"/>
    <w:rsid w:val="006E71AC"/>
    <w:rsid w:val="006F1FFE"/>
    <w:rsid w:val="0071497A"/>
    <w:rsid w:val="00722CF7"/>
    <w:rsid w:val="007277EC"/>
    <w:rsid w:val="00747ECE"/>
    <w:rsid w:val="0075787C"/>
    <w:rsid w:val="00763836"/>
    <w:rsid w:val="007852D2"/>
    <w:rsid w:val="0079110D"/>
    <w:rsid w:val="007A3418"/>
    <w:rsid w:val="007A685E"/>
    <w:rsid w:val="007D178D"/>
    <w:rsid w:val="007E2E07"/>
    <w:rsid w:val="007E4AA6"/>
    <w:rsid w:val="007F742F"/>
    <w:rsid w:val="00804272"/>
    <w:rsid w:val="00813D73"/>
    <w:rsid w:val="00813E6F"/>
    <w:rsid w:val="00825669"/>
    <w:rsid w:val="00827C32"/>
    <w:rsid w:val="00833415"/>
    <w:rsid w:val="00842DD3"/>
    <w:rsid w:val="008559AE"/>
    <w:rsid w:val="0086234F"/>
    <w:rsid w:val="008628DA"/>
    <w:rsid w:val="00881DD4"/>
    <w:rsid w:val="008B1D11"/>
    <w:rsid w:val="008C6B48"/>
    <w:rsid w:val="008E0B91"/>
    <w:rsid w:val="0090546A"/>
    <w:rsid w:val="009125B7"/>
    <w:rsid w:val="009143FE"/>
    <w:rsid w:val="00920219"/>
    <w:rsid w:val="009231C0"/>
    <w:rsid w:val="00990800"/>
    <w:rsid w:val="00991994"/>
    <w:rsid w:val="009A5EF6"/>
    <w:rsid w:val="009B04D2"/>
    <w:rsid w:val="009C34F9"/>
    <w:rsid w:val="009D1A3A"/>
    <w:rsid w:val="009D5A5B"/>
    <w:rsid w:val="009D5D53"/>
    <w:rsid w:val="009E0BF2"/>
    <w:rsid w:val="009F524A"/>
    <w:rsid w:val="009F6E0E"/>
    <w:rsid w:val="00A00A07"/>
    <w:rsid w:val="00A106BE"/>
    <w:rsid w:val="00A1168C"/>
    <w:rsid w:val="00A227FD"/>
    <w:rsid w:val="00A22DCE"/>
    <w:rsid w:val="00A34074"/>
    <w:rsid w:val="00A556A5"/>
    <w:rsid w:val="00A723B7"/>
    <w:rsid w:val="00A819FB"/>
    <w:rsid w:val="00A85D99"/>
    <w:rsid w:val="00A96194"/>
    <w:rsid w:val="00AA0168"/>
    <w:rsid w:val="00AA266F"/>
    <w:rsid w:val="00AB60AF"/>
    <w:rsid w:val="00AC03C3"/>
    <w:rsid w:val="00AC28EC"/>
    <w:rsid w:val="00AC33D5"/>
    <w:rsid w:val="00AC3FBD"/>
    <w:rsid w:val="00AE5EA6"/>
    <w:rsid w:val="00B0547A"/>
    <w:rsid w:val="00B06E31"/>
    <w:rsid w:val="00B148A2"/>
    <w:rsid w:val="00B22132"/>
    <w:rsid w:val="00B24800"/>
    <w:rsid w:val="00B2602F"/>
    <w:rsid w:val="00B301C8"/>
    <w:rsid w:val="00B53A1F"/>
    <w:rsid w:val="00B750E5"/>
    <w:rsid w:val="00B854E7"/>
    <w:rsid w:val="00B91334"/>
    <w:rsid w:val="00B965E9"/>
    <w:rsid w:val="00BA0CE9"/>
    <w:rsid w:val="00BD016A"/>
    <w:rsid w:val="00C26993"/>
    <w:rsid w:val="00C437C0"/>
    <w:rsid w:val="00C57524"/>
    <w:rsid w:val="00C66646"/>
    <w:rsid w:val="00C70ECC"/>
    <w:rsid w:val="00C916A3"/>
    <w:rsid w:val="00C919F1"/>
    <w:rsid w:val="00CD0DA4"/>
    <w:rsid w:val="00CE25DB"/>
    <w:rsid w:val="00CF4FA0"/>
    <w:rsid w:val="00D04672"/>
    <w:rsid w:val="00D14FC7"/>
    <w:rsid w:val="00D24FCE"/>
    <w:rsid w:val="00D31251"/>
    <w:rsid w:val="00D3391C"/>
    <w:rsid w:val="00D54DC0"/>
    <w:rsid w:val="00D60772"/>
    <w:rsid w:val="00D70132"/>
    <w:rsid w:val="00DA6FF4"/>
    <w:rsid w:val="00DB1325"/>
    <w:rsid w:val="00DB5188"/>
    <w:rsid w:val="00DC3190"/>
    <w:rsid w:val="00DF2700"/>
    <w:rsid w:val="00E00780"/>
    <w:rsid w:val="00E03553"/>
    <w:rsid w:val="00E07D6F"/>
    <w:rsid w:val="00E11D92"/>
    <w:rsid w:val="00E167E7"/>
    <w:rsid w:val="00E23F40"/>
    <w:rsid w:val="00E267B1"/>
    <w:rsid w:val="00E26AA4"/>
    <w:rsid w:val="00E27BC9"/>
    <w:rsid w:val="00E7099C"/>
    <w:rsid w:val="00E70EF0"/>
    <w:rsid w:val="00EA02EF"/>
    <w:rsid w:val="00EA0D6D"/>
    <w:rsid w:val="00EA37E2"/>
    <w:rsid w:val="00EB3FF5"/>
    <w:rsid w:val="00EB5730"/>
    <w:rsid w:val="00EC02D6"/>
    <w:rsid w:val="00EC7262"/>
    <w:rsid w:val="00ED2A05"/>
    <w:rsid w:val="00ED2F38"/>
    <w:rsid w:val="00F23513"/>
    <w:rsid w:val="00F34046"/>
    <w:rsid w:val="00F34EFD"/>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paragraph" w:styleId="Titre5">
    <w:name w:val="heading 5"/>
    <w:basedOn w:val="Normal"/>
    <w:next w:val="Normal"/>
    <w:link w:val="Titre5Car"/>
    <w:uiPriority w:val="9"/>
    <w:unhideWhenUsed/>
    <w:qFormat/>
    <w:rsid w:val="00B9133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1"/>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 w:type="paragraph" w:customStyle="1" w:styleId="Rsumdelathse">
    <w:name w:val="Résumé de la thèse"/>
    <w:basedOn w:val="Normal"/>
    <w:rsid w:val="00A723B7"/>
    <w:pPr>
      <w:spacing w:after="360" w:line="240" w:lineRule="auto"/>
      <w:jc w:val="both"/>
    </w:pPr>
    <w:rPr>
      <w:rFonts w:ascii="Times New Roman" w:eastAsia="SimSun" w:hAnsi="Times New Roman"/>
      <w:sz w:val="24"/>
      <w:lang w:val="fr-CA" w:eastAsia="zh-CN"/>
    </w:rPr>
  </w:style>
  <w:style w:type="paragraph" w:customStyle="1" w:styleId="Paragraphedeliste1">
    <w:name w:val="Paragraphe de liste1"/>
    <w:basedOn w:val="Normal"/>
    <w:uiPriority w:val="99"/>
    <w:rsid w:val="00A723B7"/>
    <w:pPr>
      <w:spacing w:after="200" w:line="276" w:lineRule="auto"/>
      <w:ind w:left="720"/>
      <w:contextualSpacing/>
    </w:pPr>
    <w:rPr>
      <w:rFonts w:ascii="Calibri" w:eastAsia="Times New Roman" w:hAnsi="Calibri"/>
      <w:sz w:val="22"/>
      <w:szCs w:val="22"/>
      <w:lang w:val="fr-CA" w:eastAsia="en-US"/>
    </w:rPr>
  </w:style>
  <w:style w:type="paragraph" w:customStyle="1" w:styleId="StQuestions">
    <w:name w:val="•St Questions"/>
    <w:rsid w:val="00B91334"/>
    <w:pPr>
      <w:widowControl w:val="0"/>
      <w:suppressAutoHyphens/>
      <w:spacing w:before="480"/>
    </w:pPr>
    <w:rPr>
      <w:rFonts w:ascii="Arial" w:eastAsia="Arial" w:hAnsi="Arial" w:cs="Times New Roman"/>
      <w:b/>
      <w:color w:val="000000"/>
      <w:sz w:val="28"/>
      <w:szCs w:val="20"/>
      <w:lang w:eastAsia="ar-SA"/>
    </w:rPr>
  </w:style>
  <w:style w:type="character" w:customStyle="1" w:styleId="Titre5Car">
    <w:name w:val="Titre 5 Car"/>
    <w:basedOn w:val="Policepardfaut"/>
    <w:link w:val="Titre5"/>
    <w:uiPriority w:val="9"/>
    <w:rsid w:val="00B91334"/>
    <w:rPr>
      <w:rFonts w:asciiTheme="majorHAnsi" w:eastAsiaTheme="majorEastAsia" w:hAnsiTheme="majorHAnsi" w:cstheme="majorBidi"/>
      <w:color w:val="2F5496" w:themeColor="accent1" w:themeShade="BF"/>
      <w:sz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AB61B-6C61-4BC8-A977-F15FB505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698</Words>
  <Characters>3840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4529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6</cp:revision>
  <cp:lastPrinted>2019-03-13T15:05:00Z</cp:lastPrinted>
  <dcterms:created xsi:type="dcterms:W3CDTF">2020-12-03T19:25:00Z</dcterms:created>
  <dcterms:modified xsi:type="dcterms:W3CDTF">2020-12-04T14:22:00Z</dcterms:modified>
  <cp:category/>
</cp:coreProperties>
</file>