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152EB" w14:textId="44FC217A" w:rsidR="005B18ED" w:rsidRDefault="005B18ED" w:rsidP="005B18ED">
      <w:pPr>
        <w:pStyle w:val="Titre1"/>
      </w:pPr>
      <w:r>
        <w:t>CHAPITRE 12</w:t>
      </w:r>
      <w:r w:rsidR="00B273D3">
        <w:t xml:space="preserve"> – Étude de cas</w:t>
      </w:r>
      <w:bookmarkStart w:id="0" w:name="_GoBack"/>
      <w:bookmarkEnd w:id="0"/>
    </w:p>
    <w:p w14:paraId="0456C7CF" w14:textId="77777777" w:rsidR="005B18ED" w:rsidRDefault="005B18ED" w:rsidP="005B18ED">
      <w:pPr>
        <w:pStyle w:val="Titre2"/>
      </w:pPr>
      <w:r>
        <w:t xml:space="preserve">C’est </w:t>
      </w:r>
      <w:r w:rsidRPr="005B18ED">
        <w:t>personnel</w:t>
      </w:r>
      <w:r>
        <w:t> ?</w:t>
      </w:r>
    </w:p>
    <w:p w14:paraId="103BF9CA" w14:textId="77777777" w:rsidR="005B18ED" w:rsidRDefault="005B18ED" w:rsidP="005B18ED">
      <w:pPr>
        <w:pStyle w:val="Titre3"/>
        <w:spacing w:before="0" w:after="0"/>
      </w:pPr>
      <w:r>
        <w:t>Émilie Genin</w:t>
      </w:r>
    </w:p>
    <w:p w14:paraId="67EA6697" w14:textId="77777777" w:rsidR="005B18ED" w:rsidRDefault="005B18ED" w:rsidP="005B18ED">
      <w:pPr>
        <w:pStyle w:val="Titre3"/>
        <w:spacing w:before="0" w:after="0"/>
      </w:pPr>
      <w:r>
        <w:t>Professeure</w:t>
      </w:r>
    </w:p>
    <w:p w14:paraId="266E8F24" w14:textId="77777777" w:rsidR="005B18ED" w:rsidRDefault="005B18ED" w:rsidP="005B18ED">
      <w:pPr>
        <w:pStyle w:val="Titre3"/>
        <w:spacing w:before="0" w:after="0"/>
      </w:pPr>
      <w:r>
        <w:t>École de relations industrielles</w:t>
      </w:r>
    </w:p>
    <w:p w14:paraId="1FFEDD3B" w14:textId="46914DDB" w:rsidR="005B18ED" w:rsidRDefault="005B18ED" w:rsidP="005B18ED">
      <w:pPr>
        <w:pStyle w:val="Titre3"/>
        <w:spacing w:before="0" w:after="0"/>
      </w:pPr>
      <w:r>
        <w:t>Université de Montréal</w:t>
      </w:r>
    </w:p>
    <w:p w14:paraId="0F79E898" w14:textId="77777777" w:rsidR="005B18ED" w:rsidRDefault="005B18ED" w:rsidP="005B18ED">
      <w:pPr>
        <w:spacing w:before="240"/>
      </w:pPr>
      <w:r>
        <w:t xml:space="preserve">Sainte-Clara est une entreprise de transformation laitière du Centre-du-Québec qui compte 250 employés. Après un développement spectaculaire qui lui a permis de vendre ses produits (yogourts, fromages, etc.) partout dans la province, l’entreprise connaît aujourd’hui un grave problème de productivité dans une de ses unités de fabrication. Cette unité emploie 10 hommes et 2 femmes et affiche le taux d’absentéisme le plus élevé de l’entreprise. Non seulement les conflits y sont nombreux, mais leurs effets commencent aussi à se faire sentir dans d’autres services. Cette situation est particulièrement préoccupante pour le directeur de Sainte-Clara, M. Benoît Jr., le fils du fondateur de l’entreprise, M. Benoît Sr. </w:t>
      </w:r>
    </w:p>
    <w:p w14:paraId="52DCBF9F" w14:textId="77777777" w:rsidR="005B18ED" w:rsidRDefault="005B18ED" w:rsidP="005B18ED">
      <w:pPr>
        <w:spacing w:before="240"/>
      </w:pPr>
      <w:r>
        <w:t xml:space="preserve">Pour comprendre les raisons de ces problèmes, M. Benoît Jr. a mandaté une équipe d’experts en gestion des ressources humaines. Celle-ci découvre que les ouvriers de l’unité s’adressent fréquemment l’un à l’autre dans des termes durs, voire grossiers, ce qui n’est pas acceptable en milieu de travail. De plus, la plupart s’entendent très mal avec leur supérieure hiérarchique, Annabelle. </w:t>
      </w:r>
    </w:p>
    <w:p w14:paraId="79B01DA3" w14:textId="77777777" w:rsidR="005B18ED" w:rsidRDefault="005B18ED" w:rsidP="005B18ED">
      <w:pPr>
        <w:spacing w:before="240"/>
      </w:pPr>
      <w:r>
        <w:t>Annabelle est en poste depuis six mois. Détentrice d’une maîtrise en chimie, elle affiche un parcours universitaire remarquable, mais son expérience pratique se résume à un stage dans une entreprise de cosmétiques. Les ouvriers parlent négativement d’Annabelle ; ils la trouvent hautaine, voire condescendante avec eux. Ils croient qu’elle compense son manque d’expérience en se montrant intransigeante. Les ouvriers l’accusent aussi de favoritisme, prétendant qu’elle distribue des avis disciplinaires pour certains retards, mais ferme les yeux sur d’autres. Annabelle nie catégoriquement ces accusations, mais reconnaît avoir des difficultés relationnelles avec certains ouvriers. Elle privilégie les communications avec deux d’entre eux, Marie-Louise, qui travaille chez Sainte-Clara depuis plus de 30 ans, et Pierre, nouvellement affecté à l’unité. Lorsqu’on l’interroge sur les raisons de son manque de communication avec le reste de l’équipe, elle répond : « Pourquoi perdrais-je mon temps avec des gens hostiles ? Je préfère discuter avec des personnes aimables. »</w:t>
      </w:r>
    </w:p>
    <w:p w14:paraId="746DDF1D" w14:textId="77777777" w:rsidR="005B18ED" w:rsidRDefault="005B18ED" w:rsidP="005B18ED">
      <w:pPr>
        <w:spacing w:before="240"/>
      </w:pPr>
      <w:r>
        <w:t xml:space="preserve">Vendredi après-midi, Annabelle a eu une violente dispute avec un ouvrier, Martin. Celui-ci est entré fou de rage dans son bureau, jugeant avoir reçu un avis disciplinaire non justifié. Certes, il est arrivé en retard à son quart de travail, mais la dernière séance de médiation avec son ex-conjointe, visant à déterminer la garde des enfants, avait pris du retard. Que pouvait-il faire d’autre ? Il trouve cette situation bien injuste après des années de bons et loyaux services chez </w:t>
      </w:r>
      <w:r>
        <w:lastRenderedPageBreak/>
        <w:t>Sainte-Clara. Annabelle, pour sa part, est restée campée sur sa position : Martin a eu trois autres retards ce mois-ci et commet de plus en plus d’erreurs dans son travail, si bien que les autres ouvriers ne veulent plus faire équipe avec lui.</w:t>
      </w:r>
    </w:p>
    <w:p w14:paraId="361540C4" w14:textId="77777777" w:rsidR="005B18ED" w:rsidRDefault="005B18ED" w:rsidP="005B18ED">
      <w:pPr>
        <w:spacing w:before="240"/>
      </w:pPr>
      <w:r>
        <w:t xml:space="preserve">Lundi matin, à son arrivée au bureau, Annabelle remarque que tous les ouvriers pouffent dans son dos et semblent se moquer d’elle. Elle convoque Marie-Louise pour lui demander des explications. Un peu gênée, cette dernière lui avoue que Martin a envoyé à toute l’équipe des vidéos qu’Annabelle avait publiées sur Internet du temps où elle travaillait dans l’industrie cosmétique. Dans ces capsules, Annabelle donne des conseils de beauté en utilisant de coûteux produits. Surprise, celle-ci se contente de noter que ces capsules ont été réalisées avant son arrivée chez Sainte-Clara et ne contiennent ni propos ni </w:t>
      </w:r>
      <w:proofErr w:type="gramStart"/>
      <w:r>
        <w:t>contenu inappropriés</w:t>
      </w:r>
      <w:proofErr w:type="gramEnd"/>
      <w:r>
        <w:t xml:space="preserve">. Elle décide de ne pas en parler à M. Benoît Jr. </w:t>
      </w:r>
    </w:p>
    <w:p w14:paraId="686261F6" w14:textId="77777777" w:rsidR="005B18ED" w:rsidRDefault="005B18ED" w:rsidP="005B18ED">
      <w:pPr>
        <w:spacing w:before="240"/>
      </w:pPr>
      <w:r>
        <w:t>Au bout d’une semaine, la situation s’est détériorée. Annabelle se dit victime de harcèlement psychologique de la part des ouvriers. Sur les conseils de son frère avocat, elle commence à constituer un dossier de preuves au cas où il y aurait une poursuite. Elle se rend finalement chez son médecin, qui la met immédiatement au repos pour épuisement professionnel. M. Benoît Jr. est extrêmement préoccupé ; comment a-t-il pu se tromper à ce point sur les capacités d’Annabelle ? Et comment va-t-il la remplacer dans un contexte de pénurie de main-d’œuvre en région ?</w:t>
      </w:r>
    </w:p>
    <w:p w14:paraId="21551481" w14:textId="77777777" w:rsidR="005B18ED" w:rsidRPr="006706F1" w:rsidRDefault="005B18ED" w:rsidP="005B18ED">
      <w:pPr>
        <w:pStyle w:val="Titre4"/>
      </w:pPr>
      <w:r w:rsidRPr="006706F1">
        <w:t xml:space="preserve">Questions </w:t>
      </w:r>
    </w:p>
    <w:p w14:paraId="58004F2F" w14:textId="1158F473" w:rsidR="005B18ED" w:rsidRDefault="005B18ED" w:rsidP="001543B0">
      <w:pPr>
        <w:pStyle w:val="Paragraphedeliste"/>
        <w:numPr>
          <w:ilvl w:val="0"/>
          <w:numId w:val="2"/>
        </w:numPr>
      </w:pPr>
      <w:r>
        <w:t>Que pensez-vous de cette situation ?</w:t>
      </w:r>
    </w:p>
    <w:p w14:paraId="1EEAB25E" w14:textId="48CB168D" w:rsidR="005B18ED" w:rsidRDefault="005B18ED" w:rsidP="001543B0">
      <w:pPr>
        <w:pStyle w:val="Paragraphedeliste"/>
        <w:numPr>
          <w:ilvl w:val="0"/>
          <w:numId w:val="2"/>
        </w:numPr>
      </w:pPr>
      <w:r>
        <w:t>Quels conseils donneriez-vous à M. Benoît Jr. ?</w:t>
      </w:r>
    </w:p>
    <w:p w14:paraId="2CC97007" w14:textId="139D944A" w:rsidR="005B18ED" w:rsidRDefault="005B18ED" w:rsidP="001543B0">
      <w:pPr>
        <w:pStyle w:val="Paragraphedeliste"/>
        <w:numPr>
          <w:ilvl w:val="0"/>
          <w:numId w:val="2"/>
        </w:numPr>
      </w:pPr>
      <w:r>
        <w:t>Quels risques l’entreprise Sainte-Clara</w:t>
      </w:r>
      <w:r w:rsidRPr="002A74D4">
        <w:t xml:space="preserve"> </w:t>
      </w:r>
      <w:r>
        <w:t>court-elle ?</w:t>
      </w:r>
    </w:p>
    <w:p w14:paraId="46DB9901" w14:textId="2315AB4A" w:rsidR="005B18ED" w:rsidRDefault="005B18ED" w:rsidP="001543B0">
      <w:pPr>
        <w:pStyle w:val="Paragraphedeliste"/>
        <w:numPr>
          <w:ilvl w:val="0"/>
          <w:numId w:val="2"/>
        </w:numPr>
      </w:pPr>
      <w:r>
        <w:t>Quels enseignements peut-on tirer de cette situation quant aux droits de gérance et aux obligations d’un employeur ?</w:t>
      </w:r>
    </w:p>
    <w:p w14:paraId="470273FE" w14:textId="2CDDEF7B" w:rsidR="005B18ED" w:rsidRDefault="005B18ED" w:rsidP="005B18ED"/>
    <w:p w14:paraId="6858F49E" w14:textId="593909FD" w:rsidR="005B18ED" w:rsidRPr="00864526" w:rsidRDefault="005B18ED" w:rsidP="005B18ED">
      <w:pPr>
        <w:pStyle w:val="Titre2"/>
      </w:pPr>
      <w:r>
        <w:t>NOTES PÉDAGOGIQUES</w:t>
      </w:r>
    </w:p>
    <w:p w14:paraId="37AD4B75" w14:textId="77777777" w:rsidR="005B18ED" w:rsidRPr="006706F1" w:rsidRDefault="005B18ED" w:rsidP="005B18ED">
      <w:pPr>
        <w:pStyle w:val="Titre4"/>
      </w:pPr>
      <w:r w:rsidRPr="006706F1">
        <w:t>1. Que pensez-vous de cette situation ?</w:t>
      </w:r>
    </w:p>
    <w:p w14:paraId="0E349D3A" w14:textId="77777777" w:rsidR="005B18ED" w:rsidRDefault="005B18ED" w:rsidP="005B18ED">
      <w:r>
        <w:t>On note ici un certain nombre de problèmes :</w:t>
      </w:r>
    </w:p>
    <w:p w14:paraId="138065C2" w14:textId="679A4CAB" w:rsidR="005B18ED" w:rsidRDefault="005B18ED" w:rsidP="001543B0">
      <w:pPr>
        <w:pStyle w:val="Paragraphedeliste"/>
        <w:numPr>
          <w:ilvl w:val="0"/>
          <w:numId w:val="3"/>
        </w:numPr>
      </w:pPr>
      <w:r>
        <w:t>L’incivilité au travail</w:t>
      </w:r>
    </w:p>
    <w:p w14:paraId="3FCC72FB" w14:textId="26C4B4A0" w:rsidR="005B18ED" w:rsidRDefault="005B18ED" w:rsidP="001543B0">
      <w:pPr>
        <w:pStyle w:val="Paragraphedeliste"/>
        <w:numPr>
          <w:ilvl w:val="0"/>
          <w:numId w:val="3"/>
        </w:numPr>
      </w:pPr>
      <w:r>
        <w:t>Le cas de l’ouvrier Martin : un employé difficile ou un employé qui a une difficulté ?</w:t>
      </w:r>
    </w:p>
    <w:p w14:paraId="2163E72B" w14:textId="5FB64464" w:rsidR="005B18ED" w:rsidRDefault="005B18ED" w:rsidP="001543B0">
      <w:pPr>
        <w:pStyle w:val="Paragraphedeliste"/>
        <w:numPr>
          <w:ilvl w:val="0"/>
          <w:numId w:val="3"/>
        </w:numPr>
      </w:pPr>
      <w:r>
        <w:t xml:space="preserve">La mise à l’écart possible de Martin parce que ses collègues subissent une </w:t>
      </w:r>
      <w:proofErr w:type="gramStart"/>
      <w:r>
        <w:t>surcharge  de</w:t>
      </w:r>
      <w:proofErr w:type="gramEnd"/>
      <w:r>
        <w:t xml:space="preserve"> travail à cause de ses erreurs</w:t>
      </w:r>
    </w:p>
    <w:p w14:paraId="10A82A40" w14:textId="094059EA" w:rsidR="005B18ED" w:rsidRDefault="005B18ED" w:rsidP="001543B0">
      <w:pPr>
        <w:pStyle w:val="Paragraphedeliste"/>
        <w:numPr>
          <w:ilvl w:val="0"/>
          <w:numId w:val="3"/>
        </w:numPr>
      </w:pPr>
      <w:r>
        <w:t xml:space="preserve">Le cas d’Annabelle : accusations de menaces et de favoritisme (appliquer le concept de justice organisationnelle : justice distributive, procédurale et interactionnelle, </w:t>
      </w:r>
      <w:r w:rsidRPr="005B18ED">
        <w:rPr>
          <w:highlight w:val="yellow"/>
        </w:rPr>
        <w:t>section 12.4</w:t>
      </w:r>
      <w:r>
        <w:t>)</w:t>
      </w:r>
    </w:p>
    <w:p w14:paraId="1E69939F" w14:textId="41E5D806" w:rsidR="005B18ED" w:rsidRDefault="005B18ED" w:rsidP="001543B0">
      <w:pPr>
        <w:pStyle w:val="Paragraphedeliste"/>
        <w:numPr>
          <w:ilvl w:val="0"/>
          <w:numId w:val="3"/>
        </w:numPr>
      </w:pPr>
      <w:r>
        <w:t xml:space="preserve">Le risque lié à la santé mentale d’Annabelle </w:t>
      </w:r>
    </w:p>
    <w:p w14:paraId="53510158" w14:textId="2000BEFB" w:rsidR="005B18ED" w:rsidRDefault="005B18ED" w:rsidP="001543B0">
      <w:pPr>
        <w:pStyle w:val="Paragraphedeliste"/>
        <w:numPr>
          <w:ilvl w:val="0"/>
          <w:numId w:val="3"/>
        </w:numPr>
      </w:pPr>
      <w:r>
        <w:lastRenderedPageBreak/>
        <w:t>Les risques associés à la situation de harcèlement (risque juridique, risque pour la réputation et la capacité d’attraction de l’entreprise)</w:t>
      </w:r>
    </w:p>
    <w:p w14:paraId="65AD6ADA" w14:textId="3A88B25E" w:rsidR="005B18ED" w:rsidRPr="001A2C95" w:rsidRDefault="005B18ED" w:rsidP="005B18ED">
      <w:r w:rsidRPr="006706F1">
        <w:t xml:space="preserve">Pour </w:t>
      </w:r>
      <w:r>
        <w:t>améliorer la situation, l’entreprise devrait s’attaquer aux priorités suivantes :</w:t>
      </w:r>
      <w:r w:rsidRPr="001A2C95">
        <w:t xml:space="preserve"> </w:t>
      </w:r>
    </w:p>
    <w:p w14:paraId="48E91DE3" w14:textId="0C13DCF1" w:rsidR="005B18ED" w:rsidRDefault="005B18ED" w:rsidP="001543B0">
      <w:pPr>
        <w:pStyle w:val="Paragraphedeliste"/>
        <w:numPr>
          <w:ilvl w:val="0"/>
          <w:numId w:val="4"/>
        </w:numPr>
      </w:pPr>
      <w:r>
        <w:t xml:space="preserve">Le rétablissement d’un climat de travail sain </w:t>
      </w:r>
    </w:p>
    <w:p w14:paraId="322C6E80" w14:textId="2D47EA98" w:rsidR="005B18ED" w:rsidRDefault="005B18ED" w:rsidP="001543B0">
      <w:pPr>
        <w:pStyle w:val="Paragraphedeliste"/>
        <w:numPr>
          <w:ilvl w:val="0"/>
          <w:numId w:val="4"/>
        </w:numPr>
      </w:pPr>
      <w:r>
        <w:t>La gestion des risques juridiques</w:t>
      </w:r>
    </w:p>
    <w:p w14:paraId="6D97E097" w14:textId="77777777" w:rsidR="005B18ED" w:rsidRPr="006706F1" w:rsidRDefault="005B18ED" w:rsidP="005B18ED">
      <w:pPr>
        <w:pStyle w:val="Titre4"/>
      </w:pPr>
      <w:r w:rsidRPr="006706F1">
        <w:t>2. Quels conseils donneriez-vous à M. Benoît Jr. ?</w:t>
      </w:r>
    </w:p>
    <w:p w14:paraId="768FF49E" w14:textId="77777777" w:rsidR="005B18ED" w:rsidRDefault="005B18ED" w:rsidP="005B18ED">
      <w:r>
        <w:t>On pourrait conseiller au directeur de Santa-Clara de se pencher sur les points suivants :</w:t>
      </w:r>
      <w:r>
        <w:tab/>
      </w:r>
    </w:p>
    <w:p w14:paraId="0BA843AB" w14:textId="4A0D403F" w:rsidR="005B18ED" w:rsidRDefault="005B18ED" w:rsidP="001543B0">
      <w:pPr>
        <w:pStyle w:val="Paragraphedeliste"/>
        <w:numPr>
          <w:ilvl w:val="0"/>
          <w:numId w:val="5"/>
        </w:numPr>
      </w:pPr>
      <w:r>
        <w:t>L’intervention auprès des employés en difficulté (Annabelle et Martin ; voir les étapes de l’</w:t>
      </w:r>
      <w:r w:rsidRPr="005B18ED">
        <w:rPr>
          <w:highlight w:val="yellow"/>
        </w:rPr>
        <w:t>encadré 12.16</w:t>
      </w:r>
      <w:r>
        <w:t>)</w:t>
      </w:r>
    </w:p>
    <w:p w14:paraId="5138AABF" w14:textId="20053443" w:rsidR="005B18ED" w:rsidRDefault="005B18ED" w:rsidP="001543B0">
      <w:pPr>
        <w:pStyle w:val="Paragraphedeliste"/>
        <w:numPr>
          <w:ilvl w:val="0"/>
          <w:numId w:val="5"/>
        </w:numPr>
      </w:pPr>
      <w:r>
        <w:t xml:space="preserve">L’établissement ou la mise en </w:t>
      </w:r>
      <w:r w:rsidRPr="005B18ED">
        <w:rPr>
          <w:rFonts w:ascii="Calibri" w:hAnsi="Calibri"/>
        </w:rPr>
        <w:t>œ</w:t>
      </w:r>
      <w:r>
        <w:t>uvre d’une politique en matière de prévention du harcèlement et des agressions en milieu de travail</w:t>
      </w:r>
    </w:p>
    <w:p w14:paraId="05FB4100" w14:textId="5A67D898" w:rsidR="005B18ED" w:rsidRPr="005B18ED" w:rsidRDefault="005B18ED" w:rsidP="001543B0">
      <w:pPr>
        <w:pStyle w:val="Paragraphedeliste"/>
        <w:numPr>
          <w:ilvl w:val="2"/>
          <w:numId w:val="6"/>
        </w:numPr>
      </w:pPr>
      <w:r w:rsidRPr="005B18ED">
        <w:t>L’analyse et la description des risques (collecte des renseignements, appréciation des risques)</w:t>
      </w:r>
    </w:p>
    <w:p w14:paraId="12F947CA" w14:textId="16DA1C22" w:rsidR="005B18ED" w:rsidRPr="005B18ED" w:rsidRDefault="005B18ED" w:rsidP="001543B0">
      <w:pPr>
        <w:pStyle w:val="Paragraphedeliste"/>
        <w:numPr>
          <w:ilvl w:val="2"/>
          <w:numId w:val="6"/>
        </w:numPr>
      </w:pPr>
      <w:r w:rsidRPr="005B18ED">
        <w:t>L’élaboration et la mise en œuvre de mesures préventives (information des employés au sujet des règles et des procédures en matière d’agression en milieu de travail ; formation des employés, des superviseurs, etc.)</w:t>
      </w:r>
    </w:p>
    <w:p w14:paraId="0043B900" w14:textId="1C3338A4" w:rsidR="005B18ED" w:rsidRPr="005B18ED" w:rsidRDefault="005B18ED" w:rsidP="001543B0">
      <w:pPr>
        <w:pStyle w:val="Paragraphedeliste"/>
        <w:numPr>
          <w:ilvl w:val="2"/>
          <w:numId w:val="6"/>
        </w:numPr>
      </w:pPr>
      <w:r w:rsidRPr="005B18ED">
        <w:t>La conception d’un plan de gestion en prévision de crises éventuelles</w:t>
      </w:r>
    </w:p>
    <w:p w14:paraId="411CD359" w14:textId="1E90C376" w:rsidR="005B18ED" w:rsidRPr="005B18ED" w:rsidRDefault="005B18ED" w:rsidP="001543B0">
      <w:pPr>
        <w:pStyle w:val="Paragraphedeliste"/>
        <w:numPr>
          <w:ilvl w:val="2"/>
          <w:numId w:val="6"/>
        </w:numPr>
      </w:pPr>
      <w:r w:rsidRPr="005B18ED">
        <w:t>L’établissement de procédures pour le traitement des cas d’agression au travail</w:t>
      </w:r>
    </w:p>
    <w:p w14:paraId="09E4C678" w14:textId="16D666F1" w:rsidR="005B18ED" w:rsidRDefault="005B18ED" w:rsidP="001543B0">
      <w:pPr>
        <w:pStyle w:val="Paragraphedeliste"/>
        <w:numPr>
          <w:ilvl w:val="0"/>
          <w:numId w:val="5"/>
        </w:numPr>
      </w:pPr>
      <w:r>
        <w:t xml:space="preserve">La communication claire du programme mis sur pied (voir la </w:t>
      </w:r>
      <w:r w:rsidRPr="005B18ED">
        <w:rPr>
          <w:highlight w:val="yellow"/>
        </w:rPr>
        <w:t>section 12.5</w:t>
      </w:r>
      <w:r>
        <w:t xml:space="preserve">) </w:t>
      </w:r>
    </w:p>
    <w:p w14:paraId="289E8FE2" w14:textId="65B1D8F1" w:rsidR="005B18ED" w:rsidRDefault="005B18ED" w:rsidP="001543B0">
      <w:pPr>
        <w:pStyle w:val="Paragraphedeliste"/>
        <w:numPr>
          <w:ilvl w:val="0"/>
          <w:numId w:val="5"/>
        </w:numPr>
      </w:pPr>
      <w:r>
        <w:t>Les conditions de succès (engagement de la direction et participation des employés)</w:t>
      </w:r>
    </w:p>
    <w:p w14:paraId="6602A3F8" w14:textId="77777777" w:rsidR="005B18ED" w:rsidRPr="006706F1" w:rsidRDefault="005B18ED" w:rsidP="005B18ED">
      <w:pPr>
        <w:pStyle w:val="Titre4"/>
      </w:pPr>
      <w:r w:rsidRPr="006706F1">
        <w:t>3. Quels risques l’entreprise Sainte-Clara court-elle ?</w:t>
      </w:r>
    </w:p>
    <w:p w14:paraId="0E595D41" w14:textId="77777777" w:rsidR="005B18ED" w:rsidRDefault="005B18ED" w:rsidP="001543B0">
      <w:pPr>
        <w:pStyle w:val="Paragraphedeliste"/>
        <w:numPr>
          <w:ilvl w:val="0"/>
          <w:numId w:val="7"/>
        </w:numPr>
      </w:pPr>
      <w:r>
        <w:t>Dans la situation qui nous occupe, l’entreprise Sainte-Clara court les risques suivants :</w:t>
      </w:r>
    </w:p>
    <w:p w14:paraId="155B3945" w14:textId="0D62E6DB" w:rsidR="005B18ED" w:rsidRDefault="005B18ED" w:rsidP="001543B0">
      <w:pPr>
        <w:pStyle w:val="Paragraphedeliste"/>
        <w:numPr>
          <w:ilvl w:val="0"/>
          <w:numId w:val="7"/>
        </w:numPr>
      </w:pPr>
      <w:r>
        <w:t xml:space="preserve">Des risques juridiques (voir les </w:t>
      </w:r>
      <w:r w:rsidRPr="005B18ED">
        <w:rPr>
          <w:highlight w:val="yellow"/>
        </w:rPr>
        <w:t>sections 12.2 et 12.3</w:t>
      </w:r>
      <w:r>
        <w:t>)</w:t>
      </w:r>
    </w:p>
    <w:p w14:paraId="67B0B773" w14:textId="11094404" w:rsidR="005B18ED" w:rsidRDefault="005B18ED" w:rsidP="001543B0">
      <w:pPr>
        <w:pStyle w:val="Paragraphedeliste"/>
        <w:numPr>
          <w:ilvl w:val="0"/>
          <w:numId w:val="7"/>
        </w:numPr>
      </w:pPr>
      <w:r>
        <w:t>Un risque de surcharge de travail pour l’équipe et d’aggravation des problèmes de productivité</w:t>
      </w:r>
    </w:p>
    <w:p w14:paraId="017A9724" w14:textId="7FC05F2E" w:rsidR="005B18ED" w:rsidRDefault="005B18ED" w:rsidP="001543B0">
      <w:pPr>
        <w:pStyle w:val="Paragraphedeliste"/>
        <w:numPr>
          <w:ilvl w:val="0"/>
          <w:numId w:val="7"/>
        </w:numPr>
        <w:spacing w:after="240"/>
      </w:pPr>
      <w:r>
        <w:t>Des risques pour la réputation</w:t>
      </w:r>
      <w:r w:rsidRPr="004F0396">
        <w:t xml:space="preserve"> </w:t>
      </w:r>
      <w:r>
        <w:t>de l’entreprise, ainsi que pour sa capacité d’attraction et de rétention</w:t>
      </w:r>
    </w:p>
    <w:p w14:paraId="5704E3D1" w14:textId="77777777" w:rsidR="005B18ED" w:rsidRPr="006706F1" w:rsidRDefault="005B18ED" w:rsidP="005B18ED">
      <w:pPr>
        <w:pStyle w:val="Titre4"/>
      </w:pPr>
      <w:r w:rsidRPr="006706F1">
        <w:t>4. Quels enseignements peut-on tirer de cette situation quant aux droits de gérance et aux obligations d’un employeur ?</w:t>
      </w:r>
    </w:p>
    <w:p w14:paraId="71A4BB6A" w14:textId="77777777" w:rsidR="005B18ED" w:rsidRDefault="005B18ED" w:rsidP="005B18ED">
      <w:r>
        <w:t>À partir de cette situation, on peut tirer les enseignements suivants quant aux droits de gérance et aux obligations d’un employeur :</w:t>
      </w:r>
    </w:p>
    <w:p w14:paraId="453EA283" w14:textId="57B6CBCA" w:rsidR="00174253" w:rsidRPr="005B18ED" w:rsidRDefault="005B18ED" w:rsidP="005B18ED">
      <w:r w:rsidRPr="006706F1">
        <w:rPr>
          <w:b/>
          <w:color w:val="FF0000"/>
          <w:sz w:val="28"/>
          <w:szCs w:val="28"/>
          <w:highlight w:val="yellow"/>
        </w:rPr>
        <w:t>Réponse SVP.</w:t>
      </w:r>
    </w:p>
    <w:sectPr w:rsidR="00174253" w:rsidRPr="005B18ED"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B2EF4" w14:textId="77777777" w:rsidR="001543B0" w:rsidRDefault="001543B0" w:rsidP="00D14FC7">
      <w:r>
        <w:separator/>
      </w:r>
    </w:p>
  </w:endnote>
  <w:endnote w:type="continuationSeparator" w:id="0">
    <w:p w14:paraId="4F35DA26" w14:textId="77777777" w:rsidR="001543B0" w:rsidRDefault="001543B0"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61D0E" w14:textId="77777777" w:rsidR="001543B0" w:rsidRDefault="001543B0" w:rsidP="00D14FC7">
      <w:r>
        <w:separator/>
      </w:r>
    </w:p>
  </w:footnote>
  <w:footnote w:type="continuationSeparator" w:id="0">
    <w:p w14:paraId="4FC13FBE" w14:textId="77777777" w:rsidR="001543B0" w:rsidRDefault="001543B0"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CA64145"/>
    <w:multiLevelType w:val="hybridMultilevel"/>
    <w:tmpl w:val="6456BC94"/>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AFF7B9C"/>
    <w:multiLevelType w:val="hybridMultilevel"/>
    <w:tmpl w:val="E97A73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7AA66F8"/>
    <w:multiLevelType w:val="hybridMultilevel"/>
    <w:tmpl w:val="29E245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8FC065F"/>
    <w:multiLevelType w:val="hybridMultilevel"/>
    <w:tmpl w:val="2F7854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CEC134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656EF5"/>
    <w:multiLevelType w:val="hybridMultilevel"/>
    <w:tmpl w:val="D55234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543B0"/>
    <w:rsid w:val="00174253"/>
    <w:rsid w:val="0019439E"/>
    <w:rsid w:val="001B44CC"/>
    <w:rsid w:val="001C163A"/>
    <w:rsid w:val="001C3D40"/>
    <w:rsid w:val="001D5E55"/>
    <w:rsid w:val="001E4B70"/>
    <w:rsid w:val="0021779E"/>
    <w:rsid w:val="00220C2D"/>
    <w:rsid w:val="00224F16"/>
    <w:rsid w:val="00225221"/>
    <w:rsid w:val="0023625D"/>
    <w:rsid w:val="00241F9B"/>
    <w:rsid w:val="002617B4"/>
    <w:rsid w:val="00275CB8"/>
    <w:rsid w:val="00276B8A"/>
    <w:rsid w:val="00281F62"/>
    <w:rsid w:val="002836DB"/>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B18ED"/>
    <w:rsid w:val="005C72BF"/>
    <w:rsid w:val="005D7389"/>
    <w:rsid w:val="00606B59"/>
    <w:rsid w:val="006230F9"/>
    <w:rsid w:val="00623846"/>
    <w:rsid w:val="00624343"/>
    <w:rsid w:val="006244B4"/>
    <w:rsid w:val="00672805"/>
    <w:rsid w:val="00674317"/>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53FD"/>
    <w:rsid w:val="008C6B48"/>
    <w:rsid w:val="008E0B91"/>
    <w:rsid w:val="0090546A"/>
    <w:rsid w:val="009125B7"/>
    <w:rsid w:val="009143FE"/>
    <w:rsid w:val="00920219"/>
    <w:rsid w:val="009231C0"/>
    <w:rsid w:val="00990800"/>
    <w:rsid w:val="00991994"/>
    <w:rsid w:val="009A5EF6"/>
    <w:rsid w:val="009B04D2"/>
    <w:rsid w:val="009C34F9"/>
    <w:rsid w:val="009C65D5"/>
    <w:rsid w:val="009D1A3A"/>
    <w:rsid w:val="009D5A5B"/>
    <w:rsid w:val="009D5D53"/>
    <w:rsid w:val="009E0BF2"/>
    <w:rsid w:val="009F524A"/>
    <w:rsid w:val="009F6E0E"/>
    <w:rsid w:val="00A00A07"/>
    <w:rsid w:val="00A106BE"/>
    <w:rsid w:val="00A1168C"/>
    <w:rsid w:val="00A227FD"/>
    <w:rsid w:val="00A22DCE"/>
    <w:rsid w:val="00A34074"/>
    <w:rsid w:val="00A5296B"/>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273D3"/>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C395A"/>
    <w:rsid w:val="00DF2700"/>
    <w:rsid w:val="00E00780"/>
    <w:rsid w:val="00E03553"/>
    <w:rsid w:val="00E07D6F"/>
    <w:rsid w:val="00E11D92"/>
    <w:rsid w:val="00E167E7"/>
    <w:rsid w:val="00E23F40"/>
    <w:rsid w:val="00E267B1"/>
    <w:rsid w:val="00E26AA4"/>
    <w:rsid w:val="00E27BC9"/>
    <w:rsid w:val="00E628A5"/>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104C-4FF9-4D4B-B6C0-C208BB98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6006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7083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3</cp:revision>
  <cp:lastPrinted>2019-03-13T15:05:00Z</cp:lastPrinted>
  <dcterms:created xsi:type="dcterms:W3CDTF">2020-12-03T18:39:00Z</dcterms:created>
  <dcterms:modified xsi:type="dcterms:W3CDTF">2020-12-03T19:21:00Z</dcterms:modified>
  <cp:category/>
</cp:coreProperties>
</file>