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4716AE" w14:textId="52309ECE" w:rsidR="0002691B" w:rsidRDefault="0002691B" w:rsidP="0002691B">
      <w:pPr>
        <w:pStyle w:val="Titre1"/>
      </w:pPr>
      <w:r>
        <w:t>CHAPITRE 13</w:t>
      </w:r>
      <w:r w:rsidR="00917832">
        <w:t xml:space="preserve"> – Étude de cas</w:t>
      </w:r>
      <w:bookmarkStart w:id="0" w:name="_GoBack"/>
      <w:bookmarkEnd w:id="0"/>
    </w:p>
    <w:p w14:paraId="3E3DDB77" w14:textId="77777777" w:rsidR="0002691B" w:rsidRDefault="0002691B" w:rsidP="0002691B">
      <w:pPr>
        <w:pStyle w:val="Titre2"/>
      </w:pPr>
      <w:r>
        <w:t xml:space="preserve">Laboratoire Louvion, le développement des </w:t>
      </w:r>
      <w:r w:rsidRPr="0002691B">
        <w:t>compétences</w:t>
      </w:r>
      <w:r>
        <w:t xml:space="preserve"> au cœur d’une approche concertée</w:t>
      </w:r>
    </w:p>
    <w:p w14:paraId="66193E4B" w14:textId="77777777" w:rsidR="0002691B" w:rsidRDefault="0002691B" w:rsidP="0002691B">
      <w:pPr>
        <w:pStyle w:val="Titre3"/>
        <w:spacing w:before="0" w:after="0"/>
      </w:pPr>
      <w:r>
        <w:t>Amélie Bernier</w:t>
      </w:r>
    </w:p>
    <w:p w14:paraId="7177A9D2" w14:textId="77777777" w:rsidR="0002691B" w:rsidRDefault="0002691B" w:rsidP="0002691B">
      <w:pPr>
        <w:pStyle w:val="Titre3"/>
        <w:spacing w:before="0" w:after="0"/>
      </w:pPr>
      <w:r>
        <w:t>Professeure</w:t>
      </w:r>
    </w:p>
    <w:p w14:paraId="16BAD0AE" w14:textId="77777777" w:rsidR="0002691B" w:rsidRDefault="0002691B" w:rsidP="0002691B">
      <w:pPr>
        <w:pStyle w:val="Titre3"/>
        <w:spacing w:before="0" w:after="0"/>
      </w:pPr>
      <w:r>
        <w:t>École des sciences de l’administration</w:t>
      </w:r>
    </w:p>
    <w:p w14:paraId="320BBF80" w14:textId="0E17052B" w:rsidR="0002691B" w:rsidRDefault="0002691B" w:rsidP="0002691B">
      <w:pPr>
        <w:pStyle w:val="Titre3"/>
        <w:spacing w:before="0" w:after="0"/>
      </w:pPr>
      <w:r>
        <w:t>Université TÉLUQ</w:t>
      </w:r>
    </w:p>
    <w:p w14:paraId="07BE6C64" w14:textId="77777777" w:rsidR="0002691B" w:rsidRDefault="0002691B" w:rsidP="0002691B">
      <w:pPr>
        <w:spacing w:before="240"/>
      </w:pPr>
      <w:r>
        <w:t>Laboratoire Louvion est un spécialiste des environnements contrôlés et de la fabrication de bâtiments modulaires acoustiques sur mesure notamment pour l’industrie pharmaceutique et celle des biotechnologies. Il emploie 385 travailleurs dans la région de Lanaudière, au Québec. Cette entreprise, qui évolue dans un marché très compétitif, a réalisé plus de 2 000 projets dans le monde depuis 1981. Laboratoire Louvion affiche l’un des taux de croissance les plus forts parmi les fabricants de dispositifs médicaux au Canada. En 2015, l’entreprise a investi 17 millions de dollars dans la modernisation de ses installations pour répondre aux nouvelles exigences fixées par Santé Canada, notamment en ce qui a trait à la sécurité de base dans l’utilisation des appareils pour la radiographie et la radioscopie. Laboratoire Louvion affirme être une entreprise citoyenne responsable qui offre un milieu de travail stimulant et favorise un dialogue constructif entre la direction et les employés. Elle est associée à des solutions novatrices, à des produits de qualité supérieure et à un excellent service à la clientèle.</w:t>
      </w:r>
    </w:p>
    <w:p w14:paraId="2F50F878" w14:textId="77777777" w:rsidR="0002691B" w:rsidRDefault="0002691B" w:rsidP="0002691B">
      <w:pPr>
        <w:spacing w:before="240"/>
      </w:pPr>
      <w:r>
        <w:t xml:space="preserve">Chez Laboratoire Louvion, les employés de production sont tous syndiqués. La majorité d’entre eux forme le personnel dit hautement qualifié, composé de dessinateurs industriels, de concepteurs en génie mécanique et d’assembleurs-soudeurs, alors que le tiers, par exemple les aides à la production, a beaucoup d’expérience professionnelle, mais peu de qualifications reconnues formellement par des diplômes. Les opérations de production sont très complexes. Les chefs d’équipe décident des tâches à effectuer, et les employés sont mutés en conséquence, selon la cadence de production. </w:t>
      </w:r>
    </w:p>
    <w:p w14:paraId="5058D9A7" w14:textId="77777777" w:rsidR="0002691B" w:rsidRDefault="0002691B" w:rsidP="0002691B">
      <w:pPr>
        <w:spacing w:before="240"/>
      </w:pPr>
      <w:r>
        <w:t xml:space="preserve">Afin de faciliter le transfert de connaissances entre les nouveaux employés et les travailleurs plus expérimentés, les chefs d’équipe encouragent le partage des connaissances en jumelant les novices avec les experts. Au cours des derniers mois, l’entreprise a installé dans son usine de nouveaux équipements à commande numérique par calculateur (CNC) à cinq axes permettant d’accomplir des tâches variées de perçage, de découpage et d’impression selon des trajectoires programmées. Pour être en mesure d’utiliser adéquatement ces équipements, on a adopté une nouvelle stratégie de formation : l’apprentissage traditionnel en jumelage a été remplacé par des exercices de simulation techniques sur des tablettes numériques suivis d’une évaluation des connaissances et de la productivité sur le plancher. Un groupe d’employés plus âgés résistent à cette nouvelle façon de faire, craignant que leur expertise ne soit plus valorisée et qu’ils soient jugés incompétents, malgré leurs années d’expérience. De plus, ils ont certaines difficultés à </w:t>
      </w:r>
      <w:r>
        <w:lastRenderedPageBreak/>
        <w:t xml:space="preserve">utiliser la tablette numérique comme outil d’aide à l’apprentissage. Les tensions entre les travailleurs ont progressivement augmenté, à tel point que certains employés refusent d’utiliser les nouvelles machines CNC à cinq axes, préférant l’ancien équipement. Pourtant, à la demande des représentants syndicaux, l’employeur avait distribué un formulaire d’inventaire des compétences et des connaissances pour permettre aux employés d’évaluer leur savoir-faire technique et leurs besoins de formation. Le formulaire n’a toutefois pas permis de documenter le niveau de compétence numérique des employés. Le climat de travail s’est dégradé, et le nombre d’absences s’est accru dans les derniers mois. Le directeur des ressources humaines croit que cette situation risque d’entraîner le départ d’une partie de sa main-d’œuvre nouvellement formée, jeune et qualifiée, vers des entreprises concurrentes, ainsi que le départ prématuré à la retraite d’employés expérimentés. </w:t>
      </w:r>
    </w:p>
    <w:p w14:paraId="7BA2AF23" w14:textId="77777777" w:rsidR="0002691B" w:rsidRDefault="0002691B" w:rsidP="0002691B">
      <w:pPr>
        <w:spacing w:before="240"/>
      </w:pPr>
      <w:r>
        <w:t>Inquiet en raison de cette situation, le directeur des ressources humaines convoque les représentants syndicaux pour susciter leur collaboration et connaître leur point de vue. Les parties conviennent de mettre sur pied un comité bipartite consultatif composé de deux représentants syndicaux et de deux représentants de l’employeur pour analyser en profondeur la situation de l’entreprise et proposer des solutions à court et à long terme en matière de développement des compétences et d’organisation du travail.</w:t>
      </w:r>
    </w:p>
    <w:p w14:paraId="2B25B8E5" w14:textId="77777777" w:rsidR="0002691B" w:rsidRPr="006706F1" w:rsidRDefault="0002691B" w:rsidP="0002691B">
      <w:pPr>
        <w:pStyle w:val="Titre4"/>
      </w:pPr>
      <w:r w:rsidRPr="006706F1">
        <w:t>Questions</w:t>
      </w:r>
    </w:p>
    <w:p w14:paraId="6132E150" w14:textId="183A628B" w:rsidR="0002691B" w:rsidRDefault="0002691B" w:rsidP="0002691B">
      <w:pPr>
        <w:pStyle w:val="Paragraphedeliste"/>
        <w:numPr>
          <w:ilvl w:val="0"/>
          <w:numId w:val="3"/>
        </w:numPr>
      </w:pPr>
      <w:r>
        <w:t>Selon vous, quelles sont les causes des tensions intergénérationnelles entre les employés de production ?</w:t>
      </w:r>
    </w:p>
    <w:p w14:paraId="77FA95C6" w14:textId="07CEEC97" w:rsidR="0002691B" w:rsidRDefault="0002691B" w:rsidP="0002691B">
      <w:pPr>
        <w:pStyle w:val="Paragraphedeliste"/>
        <w:numPr>
          <w:ilvl w:val="0"/>
          <w:numId w:val="3"/>
        </w:numPr>
      </w:pPr>
      <w:r>
        <w:t>En tant que représentant patronal membre du comité consultatif, quelles solutions proposeriez-vous, à court et à moyen terme, pour améliorer l’environnement d’apprentissage au sein de l’entreprise ?</w:t>
      </w:r>
    </w:p>
    <w:p w14:paraId="7F7A4C0C" w14:textId="5AE83D77" w:rsidR="0002691B" w:rsidRDefault="0002691B" w:rsidP="0002691B">
      <w:pPr>
        <w:pStyle w:val="Paragraphedeliste"/>
        <w:numPr>
          <w:ilvl w:val="0"/>
          <w:numId w:val="3"/>
        </w:numPr>
      </w:pPr>
      <w:r>
        <w:t>Comme représentant syndical, vous avez noté que la convention collective actuelle ne prévoit aucun mécanisme de concertation officiel en matière de formation et de développement des compétences des employés. Quels ajouts proposeriez-vous pour la prochaine négociation collective ?</w:t>
      </w:r>
    </w:p>
    <w:p w14:paraId="1A8AD380" w14:textId="77777777" w:rsidR="0002691B" w:rsidRPr="0002691B" w:rsidRDefault="0002691B" w:rsidP="0002691B"/>
    <w:p w14:paraId="383F5ECD" w14:textId="46A24258" w:rsidR="0002691B" w:rsidRDefault="0002691B" w:rsidP="0002691B">
      <w:pPr>
        <w:pStyle w:val="Titre2"/>
      </w:pPr>
      <w:r>
        <w:t>NOTES PÉDAGOGIQUES</w:t>
      </w:r>
    </w:p>
    <w:p w14:paraId="7224A4E7" w14:textId="77777777" w:rsidR="0002691B" w:rsidRPr="006706F1" w:rsidRDefault="0002691B" w:rsidP="0002691B">
      <w:pPr>
        <w:pStyle w:val="Titre4"/>
      </w:pPr>
      <w:r w:rsidRPr="006706F1">
        <w:t>1. Selon vous, quelles sont les causes des tensions intergénérationnelles entre les employés de production ?</w:t>
      </w:r>
    </w:p>
    <w:p w14:paraId="02D7283C" w14:textId="77777777" w:rsidR="0002691B" w:rsidRDefault="0002691B" w:rsidP="0002691B">
      <w:r>
        <w:t>Plusieurs éléments peuvent contribuer aux tensions intergénérationnelles entre les employés de production : la modernisation des équipements et des installations, les objectifs de productivité, la valorisation de l’expérience comparativement au diplôme, la perception qu’ont les travailleurs plus âgés de leur incompétence quant à l’utilisation des nouvelles technologies, l’inadéquation entre les besoins et l’offre au chapitre de la formation, l’absence de politique explicite quant à la formation liée aux changements technologiques.</w:t>
      </w:r>
    </w:p>
    <w:p w14:paraId="132F3215" w14:textId="77777777" w:rsidR="0002691B" w:rsidRPr="006706F1" w:rsidRDefault="0002691B" w:rsidP="0002691B">
      <w:pPr>
        <w:pStyle w:val="Titre4"/>
      </w:pPr>
      <w:r w:rsidRPr="006706F1">
        <w:lastRenderedPageBreak/>
        <w:t>2. En tant que représentant patronal membre du comité consultatif, quelles solutions proposeriez-vous, à court et à moyen terme, pour améliorer l’environnement d’apprentissage au sein de l’entreprise ?</w:t>
      </w:r>
    </w:p>
    <w:p w14:paraId="14A11086" w14:textId="77777777" w:rsidR="0002691B" w:rsidRDefault="0002691B" w:rsidP="0002691B">
      <w:r>
        <w:t xml:space="preserve">Afin d’améliorer l’environnement d’apprentissage au sein de Laboratoire Louvion, on peut avoir recours à plusieurs solutions. </w:t>
      </w:r>
    </w:p>
    <w:p w14:paraId="03F110AE" w14:textId="77777777" w:rsidR="0002691B" w:rsidRDefault="0002691B" w:rsidP="0002691B">
      <w:r>
        <w:t>Solutions à court terme :</w:t>
      </w:r>
    </w:p>
    <w:p w14:paraId="5440A6C0" w14:textId="4F49ECFD" w:rsidR="0002691B" w:rsidRDefault="0002691B" w:rsidP="0002691B">
      <w:pPr>
        <w:pStyle w:val="Paragraphedeliste"/>
        <w:numPr>
          <w:ilvl w:val="0"/>
          <w:numId w:val="4"/>
        </w:numPr>
      </w:pPr>
      <w:r>
        <w:t>Le rétablissement de la relation de confiance entre la direction et ses employés.</w:t>
      </w:r>
    </w:p>
    <w:p w14:paraId="65E5CAA0" w14:textId="77777777" w:rsidR="0002691B" w:rsidRDefault="0002691B" w:rsidP="0002691B">
      <w:pPr>
        <w:pStyle w:val="Paragraphedeliste"/>
        <w:numPr>
          <w:ilvl w:val="0"/>
          <w:numId w:val="4"/>
        </w:numPr>
      </w:pPr>
      <w:r>
        <w:t>La communication d’objectifs clairs à atteindre.</w:t>
      </w:r>
    </w:p>
    <w:p w14:paraId="441924CB" w14:textId="77777777" w:rsidR="0002691B" w:rsidRDefault="0002691B" w:rsidP="0002691B">
      <w:pPr>
        <w:pStyle w:val="Paragraphedeliste"/>
        <w:numPr>
          <w:ilvl w:val="0"/>
          <w:numId w:val="4"/>
        </w:numPr>
      </w:pPr>
      <w:r>
        <w:t>La revue des méthodes d’accompagnement (jumelage, parrainage, compagnonnage pour valoriser les novices ainsi que les savoir-faire des travailleurs expérimentés). Les méthodes de formation traditionnelles peuvent demeurer de bons choix malgré l’utilisation d’équipements numériques. Se former à l’aide de la technologie ne veut pas dire abandonner les modes d’apprentissage classiques.</w:t>
      </w:r>
    </w:p>
    <w:p w14:paraId="41E32FD5" w14:textId="1FEF8DA1" w:rsidR="0002691B" w:rsidRDefault="0002691B" w:rsidP="0002691B">
      <w:pPr>
        <w:pStyle w:val="Paragraphedeliste"/>
        <w:numPr>
          <w:ilvl w:val="0"/>
          <w:numId w:val="4"/>
        </w:numPr>
      </w:pPr>
      <w:r>
        <w:t>Le développement des compétences numériques (notamment techniques) pour faciliter l’utilisation des nouvelles technologies de production et des outils de formation</w:t>
      </w:r>
    </w:p>
    <w:p w14:paraId="43AEDA3E" w14:textId="20E7AD7C" w:rsidR="0002691B" w:rsidRDefault="0002691B" w:rsidP="0002691B">
      <w:pPr>
        <w:pStyle w:val="Paragraphedeliste"/>
        <w:numPr>
          <w:ilvl w:val="0"/>
          <w:numId w:val="4"/>
        </w:numPr>
      </w:pPr>
      <w:r>
        <w:t>L’instauration d’un climat de partage bidirectionnel entre les employés (des plus jeunes aux plus vieux et vice-versa)</w:t>
      </w:r>
    </w:p>
    <w:p w14:paraId="25F74A87" w14:textId="597F84D5" w:rsidR="0002691B" w:rsidRDefault="0002691B" w:rsidP="0002691B">
      <w:pPr>
        <w:pStyle w:val="Paragraphedeliste"/>
        <w:numPr>
          <w:ilvl w:val="0"/>
          <w:numId w:val="4"/>
        </w:numPr>
      </w:pPr>
      <w:r>
        <w:t>La révision de la stratégie de formation et des outils utilisés pour reconnaître les compétences des travailleurs et pour évaluer les apprentissages (carnet d’apprentissage, fiche d’autoévaluation, tablette numérique, etc.)</w:t>
      </w:r>
    </w:p>
    <w:p w14:paraId="1AF2D3E5" w14:textId="77777777" w:rsidR="0002691B" w:rsidRDefault="0002691B" w:rsidP="0002691B">
      <w:r>
        <w:t>Solutions à long terme :</w:t>
      </w:r>
    </w:p>
    <w:p w14:paraId="70B7AA2A" w14:textId="74F5553C" w:rsidR="0002691B" w:rsidRDefault="0002691B" w:rsidP="0002691B">
      <w:pPr>
        <w:pStyle w:val="Paragraphedeliste"/>
        <w:numPr>
          <w:ilvl w:val="0"/>
          <w:numId w:val="5"/>
        </w:numPr>
      </w:pPr>
      <w:r>
        <w:t>La proposition d’une stratégie de formation continue et d’un plan à long terme de transfert des connaissances</w:t>
      </w:r>
    </w:p>
    <w:p w14:paraId="51081361" w14:textId="6A5A3CC8" w:rsidR="0002691B" w:rsidRDefault="0002691B" w:rsidP="0002691B">
      <w:pPr>
        <w:pStyle w:val="Paragraphedeliste"/>
        <w:numPr>
          <w:ilvl w:val="0"/>
          <w:numId w:val="5"/>
        </w:numPr>
      </w:pPr>
      <w:r>
        <w:t>La valorisation des connaissances des employés experts dans l’entreprise par des mécanismes de reconnaissance (primes salariales, attestations d’entreprise, horaire flexible, certifications, etc.)</w:t>
      </w:r>
    </w:p>
    <w:p w14:paraId="3DDC4F79" w14:textId="1821FF12" w:rsidR="0002691B" w:rsidRDefault="0002691B" w:rsidP="0002691B">
      <w:pPr>
        <w:pStyle w:val="Paragraphedeliste"/>
        <w:numPr>
          <w:ilvl w:val="0"/>
          <w:numId w:val="5"/>
        </w:numPr>
      </w:pPr>
      <w:r>
        <w:t>La mise en place d’indicateurs formels pour mesurer la performance individuelle et organisationnelle</w:t>
      </w:r>
    </w:p>
    <w:p w14:paraId="47E1A9A0" w14:textId="0389F202" w:rsidR="0002691B" w:rsidRDefault="0002691B" w:rsidP="0002691B">
      <w:pPr>
        <w:pStyle w:val="Paragraphedeliste"/>
        <w:numPr>
          <w:ilvl w:val="0"/>
          <w:numId w:val="5"/>
        </w:numPr>
        <w:spacing w:after="240"/>
      </w:pPr>
      <w:r>
        <w:t>L’évaluation des apprentissages et des compétences à l’aide d’un référentiel de compétences</w:t>
      </w:r>
    </w:p>
    <w:p w14:paraId="373542B5" w14:textId="77777777" w:rsidR="0002691B" w:rsidRPr="006706F1" w:rsidRDefault="0002691B" w:rsidP="0002691B">
      <w:pPr>
        <w:pStyle w:val="Titre4"/>
      </w:pPr>
      <w:r w:rsidRPr="006706F1">
        <w:t>3. Comme représentant syndical, vous avez noté que la convention collective actuelle ne prévoit aucun mécanisme de concertation officiel en matière de formation et de développement des compétences des employés. Quels ajouts proposeriez-vous pour la prochaine négociation collective ?</w:t>
      </w:r>
    </w:p>
    <w:p w14:paraId="114CDC98" w14:textId="77777777" w:rsidR="0002691B" w:rsidRDefault="0002691B" w:rsidP="0002691B">
      <w:r>
        <w:t>Voici quelques exemples d’ajouts que vous pourriez proposer en vue de la prochaine négociation collective :</w:t>
      </w:r>
    </w:p>
    <w:p w14:paraId="4CB76798" w14:textId="4428D429" w:rsidR="0002691B" w:rsidRDefault="0002691B" w:rsidP="0002691B">
      <w:pPr>
        <w:pStyle w:val="Paragraphedeliste"/>
        <w:numPr>
          <w:ilvl w:val="0"/>
          <w:numId w:val="6"/>
        </w:numPr>
      </w:pPr>
      <w:r>
        <w:t>Une lettre d’entente entre l’employeur et l’employé</w:t>
      </w:r>
    </w:p>
    <w:p w14:paraId="330E0AC9" w14:textId="74D6DAF2" w:rsidR="0002691B" w:rsidRDefault="0002691B" w:rsidP="0002691B">
      <w:pPr>
        <w:pStyle w:val="Paragraphedeliste"/>
        <w:numPr>
          <w:ilvl w:val="0"/>
          <w:numId w:val="6"/>
        </w:numPr>
      </w:pPr>
      <w:r>
        <w:lastRenderedPageBreak/>
        <w:t>Des clauses liées à la formation et au développement des compétences des travailleurs dans le contexte d’un changement technologique</w:t>
      </w:r>
    </w:p>
    <w:p w14:paraId="3CC08F52" w14:textId="493E3943" w:rsidR="0002691B" w:rsidRDefault="0002691B" w:rsidP="0002691B">
      <w:pPr>
        <w:pStyle w:val="Paragraphedeliste"/>
        <w:numPr>
          <w:ilvl w:val="0"/>
          <w:numId w:val="6"/>
        </w:numPr>
      </w:pPr>
      <w:r>
        <w:t>Des clauses définissant un comité bipartite formel constitué de représentants patronaux et syndicaux pour discuter des problématiques liées à la formation et au transfert des connaissances</w:t>
      </w:r>
    </w:p>
    <w:p w14:paraId="42470F83" w14:textId="446BB438" w:rsidR="0002691B" w:rsidRDefault="0002691B" w:rsidP="0002691B">
      <w:pPr>
        <w:pStyle w:val="Paragraphedeliste"/>
        <w:numPr>
          <w:ilvl w:val="0"/>
          <w:numId w:val="6"/>
        </w:numPr>
      </w:pPr>
      <w:r>
        <w:t>Des clauses précisant les mécanismes d’évaluation des apprentissages</w:t>
      </w:r>
    </w:p>
    <w:p w14:paraId="249FB17C" w14:textId="02B8BF26" w:rsidR="0002691B" w:rsidRDefault="0002691B" w:rsidP="0002691B">
      <w:pPr>
        <w:rPr>
          <w:rFonts w:asciiTheme="majorHAnsi" w:eastAsiaTheme="majorEastAsia" w:hAnsiTheme="majorHAnsi" w:cstheme="majorBidi"/>
          <w:b/>
          <w:color w:val="2F5496" w:themeColor="accent1" w:themeShade="BF"/>
          <w:sz w:val="32"/>
          <w:szCs w:val="32"/>
        </w:rPr>
      </w:pPr>
    </w:p>
    <w:p w14:paraId="453EA283" w14:textId="786330E6" w:rsidR="00174253" w:rsidRPr="0002691B" w:rsidRDefault="00174253" w:rsidP="0002691B"/>
    <w:sectPr w:rsidR="00174253" w:rsidRPr="0002691B" w:rsidSect="009C34F9">
      <w:headerReference w:type="default" r:id="rId8"/>
      <w:footerReference w:type="even" r:id="rId9"/>
      <w:footerReference w:type="default" r:id="rId10"/>
      <w:headerReference w:type="first" r:id="rId11"/>
      <w:pgSz w:w="12240" w:h="15840"/>
      <w:pgMar w:top="2418" w:right="1800" w:bottom="1051" w:left="1800" w:header="596" w:footer="5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4B1545" w14:textId="77777777" w:rsidR="000D5AD3" w:rsidRDefault="000D5AD3" w:rsidP="00D14FC7">
      <w:r>
        <w:separator/>
      </w:r>
    </w:p>
  </w:endnote>
  <w:endnote w:type="continuationSeparator" w:id="0">
    <w:p w14:paraId="67812AD7" w14:textId="77777777" w:rsidR="000D5AD3" w:rsidRDefault="000D5AD3" w:rsidP="00D14F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Segoe UI">
    <w:altName w:val="Arial"/>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Numrodepage"/>
      </w:rPr>
      <w:id w:val="-1080446185"/>
      <w:docPartObj>
        <w:docPartGallery w:val="Page Numbers (Bottom of Page)"/>
        <w:docPartUnique/>
      </w:docPartObj>
    </w:sdtPr>
    <w:sdtEndPr>
      <w:rPr>
        <w:rStyle w:val="Numrodepage"/>
      </w:rPr>
    </w:sdtEndPr>
    <w:sdtContent>
      <w:p w14:paraId="1CE41DBC" w14:textId="77777777" w:rsidR="0030780C" w:rsidRDefault="0030780C" w:rsidP="00665321">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76557B5A" w14:textId="77777777" w:rsidR="0030780C" w:rsidRDefault="0030780C" w:rsidP="0030780C">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1467A3" w14:textId="77777777" w:rsidR="0071497A" w:rsidRDefault="0071497A" w:rsidP="00380C1A">
    <w:pPr>
      <w:pStyle w:val="Pieddepage"/>
      <w:ind w:right="360"/>
      <w:rPr>
        <w:sz w:val="16"/>
        <w:lang w:val="ru-RU"/>
      </w:rPr>
    </w:pPr>
  </w:p>
  <w:p w14:paraId="3383B006" w14:textId="77777777" w:rsidR="00380C1A" w:rsidRPr="00546860" w:rsidRDefault="00380C1A" w:rsidP="00380C1A">
    <w:pPr>
      <w:pStyle w:val="Pieddepage"/>
      <w:ind w:right="360"/>
    </w:pPr>
    <w:r w:rsidRPr="00431FB1">
      <w:rPr>
        <w:sz w:val="16"/>
        <w:lang w:val="ru-RU"/>
      </w:rPr>
      <w:t>© ERPI, tous droits réservés.</w:t>
    </w:r>
    <w:r>
      <w:rPr>
        <w:sz w:val="16"/>
        <w:lang w:val="ru-RU"/>
      </w:rPr>
      <w:t xml:space="preserve"> Reproduction sur support papier autorisée aux utilisateurs du manuel</w:t>
    </w:r>
  </w:p>
  <w:p w14:paraId="6D53F9A3" w14:textId="77777777" w:rsidR="009D1A3A" w:rsidRPr="00380C1A" w:rsidRDefault="009D1A3A" w:rsidP="00380C1A">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05019C" w14:textId="77777777" w:rsidR="000D5AD3" w:rsidRDefault="000D5AD3" w:rsidP="00D14FC7">
      <w:r>
        <w:separator/>
      </w:r>
    </w:p>
  </w:footnote>
  <w:footnote w:type="continuationSeparator" w:id="0">
    <w:p w14:paraId="59938527" w14:textId="77777777" w:rsidR="000D5AD3" w:rsidRDefault="000D5AD3" w:rsidP="00D14F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DB0CA4" w14:textId="1651527E" w:rsidR="00D14FC7" w:rsidRDefault="00094076">
    <w:pPr>
      <w:pStyle w:val="En-tte"/>
    </w:pPr>
    <w:r>
      <w:rPr>
        <w:noProof/>
      </w:rPr>
      <w:drawing>
        <wp:inline distT="0" distB="0" distL="0" distR="0" wp14:anchorId="48D67713" wp14:editId="4326F5F5">
          <wp:extent cx="1629956" cy="510139"/>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
                    <a:extLst>
                      <a:ext uri="{28A0092B-C50C-407E-A947-70E740481C1C}">
                        <a14:useLocalDpi xmlns:a14="http://schemas.microsoft.com/office/drawing/2010/main" val="0"/>
                      </a:ext>
                    </a:extLst>
                  </a:blip>
                  <a:stretch>
                    <a:fillRect/>
                  </a:stretch>
                </pic:blipFill>
                <pic:spPr>
                  <a:xfrm>
                    <a:off x="0" y="0"/>
                    <a:ext cx="1648023" cy="515794"/>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77C9D2" w14:textId="3F0EC363" w:rsidR="009B04D2" w:rsidRDefault="00094076">
    <w:pPr>
      <w:pStyle w:val="En-tte"/>
    </w:pPr>
    <w:r>
      <w:rPr>
        <w:noProof/>
      </w:rPr>
      <w:drawing>
        <wp:inline distT="0" distB="0" distL="0" distR="0" wp14:anchorId="346A70ED" wp14:editId="0EFCD1F7">
          <wp:extent cx="2460312" cy="770021"/>
          <wp:effectExtent l="0" t="0" r="3810" b="508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
                    <a:extLst>
                      <a:ext uri="{28A0092B-C50C-407E-A947-70E740481C1C}">
                        <a14:useLocalDpi xmlns:a14="http://schemas.microsoft.com/office/drawing/2010/main" val="0"/>
                      </a:ext>
                    </a:extLst>
                  </a:blip>
                  <a:stretch>
                    <a:fillRect/>
                  </a:stretch>
                </pic:blipFill>
                <pic:spPr>
                  <a:xfrm>
                    <a:off x="0" y="0"/>
                    <a:ext cx="2469074" cy="77276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30082610"/>
    <w:lvl w:ilvl="0">
      <w:start w:val="1"/>
      <w:numFmt w:val="bullet"/>
      <w:pStyle w:val="Listepuces"/>
      <w:lvlText w:val=""/>
      <w:lvlJc w:val="left"/>
      <w:pPr>
        <w:tabs>
          <w:tab w:val="num" w:pos="360"/>
        </w:tabs>
        <w:ind w:left="360" w:hanging="360"/>
      </w:pPr>
      <w:rPr>
        <w:rFonts w:ascii="Symbol" w:hAnsi="Symbol" w:hint="default"/>
      </w:rPr>
    </w:lvl>
  </w:abstractNum>
  <w:abstractNum w:abstractNumId="1" w15:restartNumberingAfterBreak="0">
    <w:nsid w:val="0C1704F8"/>
    <w:multiLevelType w:val="hybridMultilevel"/>
    <w:tmpl w:val="9C9A58D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 w15:restartNumberingAfterBreak="0">
    <w:nsid w:val="27A46DA2"/>
    <w:multiLevelType w:val="hybridMultilevel"/>
    <w:tmpl w:val="4798FE16"/>
    <w:lvl w:ilvl="0" w:tplc="04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3" w15:restartNumberingAfterBreak="0">
    <w:nsid w:val="5E150C22"/>
    <w:multiLevelType w:val="hybridMultilevel"/>
    <w:tmpl w:val="3300F21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 w15:restartNumberingAfterBreak="0">
    <w:nsid w:val="72EC1ED5"/>
    <w:multiLevelType w:val="hybridMultilevel"/>
    <w:tmpl w:val="224037A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 w15:restartNumberingAfterBreak="0">
    <w:nsid w:val="7C146E7E"/>
    <w:multiLevelType w:val="hybridMultilevel"/>
    <w:tmpl w:val="72C4239A"/>
    <w:lvl w:ilvl="0" w:tplc="04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num w:numId="1">
    <w:abstractNumId w:val="0"/>
  </w:num>
  <w:num w:numId="2">
    <w:abstractNumId w:val="5"/>
  </w:num>
  <w:num w:numId="3">
    <w:abstractNumId w:val="2"/>
  </w:num>
  <w:num w:numId="4">
    <w:abstractNumId w:val="1"/>
  </w:num>
  <w:num w:numId="5">
    <w:abstractNumId w:val="3"/>
  </w:num>
  <w:num w:numId="6">
    <w:abstractNumId w:val="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3846"/>
    <w:rsid w:val="00003A45"/>
    <w:rsid w:val="000117E5"/>
    <w:rsid w:val="000236DA"/>
    <w:rsid w:val="0002691B"/>
    <w:rsid w:val="00030663"/>
    <w:rsid w:val="000313EC"/>
    <w:rsid w:val="0004419A"/>
    <w:rsid w:val="00071FF2"/>
    <w:rsid w:val="00082653"/>
    <w:rsid w:val="00084EEF"/>
    <w:rsid w:val="00094076"/>
    <w:rsid w:val="000A0F37"/>
    <w:rsid w:val="000A17FB"/>
    <w:rsid w:val="000A4484"/>
    <w:rsid w:val="000B3DEF"/>
    <w:rsid w:val="000D5AD3"/>
    <w:rsid w:val="001056F5"/>
    <w:rsid w:val="0013209B"/>
    <w:rsid w:val="00142ED2"/>
    <w:rsid w:val="00174253"/>
    <w:rsid w:val="0019439E"/>
    <w:rsid w:val="001B44CC"/>
    <w:rsid w:val="001C163A"/>
    <w:rsid w:val="001C3D40"/>
    <w:rsid w:val="001D5E55"/>
    <w:rsid w:val="001E4B70"/>
    <w:rsid w:val="0021779E"/>
    <w:rsid w:val="00220C2D"/>
    <w:rsid w:val="00224F16"/>
    <w:rsid w:val="00225221"/>
    <w:rsid w:val="0023625D"/>
    <w:rsid w:val="00241F9B"/>
    <w:rsid w:val="002617B4"/>
    <w:rsid w:val="00275CB8"/>
    <w:rsid w:val="00276B8A"/>
    <w:rsid w:val="00281F62"/>
    <w:rsid w:val="002836DB"/>
    <w:rsid w:val="00286546"/>
    <w:rsid w:val="0029560F"/>
    <w:rsid w:val="002974B8"/>
    <w:rsid w:val="002A2AB1"/>
    <w:rsid w:val="002A5243"/>
    <w:rsid w:val="002D1353"/>
    <w:rsid w:val="002D2D24"/>
    <w:rsid w:val="002E0C2F"/>
    <w:rsid w:val="002F765D"/>
    <w:rsid w:val="0030780C"/>
    <w:rsid w:val="00333464"/>
    <w:rsid w:val="00365B71"/>
    <w:rsid w:val="003674F0"/>
    <w:rsid w:val="00380C1A"/>
    <w:rsid w:val="00384806"/>
    <w:rsid w:val="0039065D"/>
    <w:rsid w:val="0039324B"/>
    <w:rsid w:val="003A6FDE"/>
    <w:rsid w:val="003B4AFD"/>
    <w:rsid w:val="003B5704"/>
    <w:rsid w:val="003C092B"/>
    <w:rsid w:val="003F0FA5"/>
    <w:rsid w:val="0042359E"/>
    <w:rsid w:val="00431547"/>
    <w:rsid w:val="00433A44"/>
    <w:rsid w:val="00441070"/>
    <w:rsid w:val="00460D86"/>
    <w:rsid w:val="0047121E"/>
    <w:rsid w:val="004741A6"/>
    <w:rsid w:val="00476779"/>
    <w:rsid w:val="004833AD"/>
    <w:rsid w:val="004A0850"/>
    <w:rsid w:val="004A34A6"/>
    <w:rsid w:val="004B7DB2"/>
    <w:rsid w:val="004C15D3"/>
    <w:rsid w:val="004D7D38"/>
    <w:rsid w:val="004F2807"/>
    <w:rsid w:val="004F70DC"/>
    <w:rsid w:val="00500FFF"/>
    <w:rsid w:val="005044A8"/>
    <w:rsid w:val="005274DE"/>
    <w:rsid w:val="0053271D"/>
    <w:rsid w:val="00532C38"/>
    <w:rsid w:val="00551C2F"/>
    <w:rsid w:val="00554CDB"/>
    <w:rsid w:val="005576FE"/>
    <w:rsid w:val="00571604"/>
    <w:rsid w:val="00576355"/>
    <w:rsid w:val="00582B23"/>
    <w:rsid w:val="005A02C4"/>
    <w:rsid w:val="005A21A9"/>
    <w:rsid w:val="005C72BF"/>
    <w:rsid w:val="005D7389"/>
    <w:rsid w:val="00606B59"/>
    <w:rsid w:val="006230F9"/>
    <w:rsid w:val="00623846"/>
    <w:rsid w:val="00624343"/>
    <w:rsid w:val="006244B4"/>
    <w:rsid w:val="00672805"/>
    <w:rsid w:val="00674317"/>
    <w:rsid w:val="00682A23"/>
    <w:rsid w:val="00683029"/>
    <w:rsid w:val="006927B2"/>
    <w:rsid w:val="006A6A90"/>
    <w:rsid w:val="006C4E5F"/>
    <w:rsid w:val="006D1A2D"/>
    <w:rsid w:val="006E13B4"/>
    <w:rsid w:val="006E34ED"/>
    <w:rsid w:val="006E71AC"/>
    <w:rsid w:val="006F1FFE"/>
    <w:rsid w:val="0071497A"/>
    <w:rsid w:val="00722CF7"/>
    <w:rsid w:val="007277EC"/>
    <w:rsid w:val="00747ECE"/>
    <w:rsid w:val="0075787C"/>
    <w:rsid w:val="007852D2"/>
    <w:rsid w:val="0079110D"/>
    <w:rsid w:val="007A3418"/>
    <w:rsid w:val="007A685E"/>
    <w:rsid w:val="007D178D"/>
    <w:rsid w:val="007E2E07"/>
    <w:rsid w:val="007F742F"/>
    <w:rsid w:val="00804272"/>
    <w:rsid w:val="00813D73"/>
    <w:rsid w:val="00813E6F"/>
    <w:rsid w:val="00825669"/>
    <w:rsid w:val="00827C32"/>
    <w:rsid w:val="00833415"/>
    <w:rsid w:val="00842DD3"/>
    <w:rsid w:val="0086234F"/>
    <w:rsid w:val="008628DA"/>
    <w:rsid w:val="00881DD4"/>
    <w:rsid w:val="008B1D11"/>
    <w:rsid w:val="008C53FD"/>
    <w:rsid w:val="008C6B48"/>
    <w:rsid w:val="008E0B91"/>
    <w:rsid w:val="0090546A"/>
    <w:rsid w:val="009125B7"/>
    <w:rsid w:val="009143FE"/>
    <w:rsid w:val="00917832"/>
    <w:rsid w:val="00920219"/>
    <w:rsid w:val="009231C0"/>
    <w:rsid w:val="00990800"/>
    <w:rsid w:val="00991994"/>
    <w:rsid w:val="009A5EF6"/>
    <w:rsid w:val="009B04D2"/>
    <w:rsid w:val="009C34F9"/>
    <w:rsid w:val="009C65D5"/>
    <w:rsid w:val="009D1A3A"/>
    <w:rsid w:val="009D5A5B"/>
    <w:rsid w:val="009D5D53"/>
    <w:rsid w:val="009E0BF2"/>
    <w:rsid w:val="009F524A"/>
    <w:rsid w:val="009F6E0E"/>
    <w:rsid w:val="00A00A07"/>
    <w:rsid w:val="00A106BE"/>
    <w:rsid w:val="00A1168C"/>
    <w:rsid w:val="00A227FD"/>
    <w:rsid w:val="00A22DCE"/>
    <w:rsid w:val="00A34074"/>
    <w:rsid w:val="00A5296B"/>
    <w:rsid w:val="00A556A5"/>
    <w:rsid w:val="00A819FB"/>
    <w:rsid w:val="00A85D99"/>
    <w:rsid w:val="00A96194"/>
    <w:rsid w:val="00AA0168"/>
    <w:rsid w:val="00AA266F"/>
    <w:rsid w:val="00AB60AF"/>
    <w:rsid w:val="00AC03C3"/>
    <w:rsid w:val="00AC28EC"/>
    <w:rsid w:val="00AC33D5"/>
    <w:rsid w:val="00AC3FBD"/>
    <w:rsid w:val="00AE5EA6"/>
    <w:rsid w:val="00B0547A"/>
    <w:rsid w:val="00B148A2"/>
    <w:rsid w:val="00B22132"/>
    <w:rsid w:val="00B24800"/>
    <w:rsid w:val="00B2602F"/>
    <w:rsid w:val="00B53A1F"/>
    <w:rsid w:val="00B750E5"/>
    <w:rsid w:val="00B854E7"/>
    <w:rsid w:val="00B965E9"/>
    <w:rsid w:val="00BA0CE9"/>
    <w:rsid w:val="00BD016A"/>
    <w:rsid w:val="00C26993"/>
    <w:rsid w:val="00C437C0"/>
    <w:rsid w:val="00C57524"/>
    <w:rsid w:val="00C66646"/>
    <w:rsid w:val="00C70ECC"/>
    <w:rsid w:val="00C916A3"/>
    <w:rsid w:val="00C919F1"/>
    <w:rsid w:val="00CD0DA4"/>
    <w:rsid w:val="00CE25DB"/>
    <w:rsid w:val="00CF4FA0"/>
    <w:rsid w:val="00D04672"/>
    <w:rsid w:val="00D14FC7"/>
    <w:rsid w:val="00D24FCE"/>
    <w:rsid w:val="00D31251"/>
    <w:rsid w:val="00D3391C"/>
    <w:rsid w:val="00D52B82"/>
    <w:rsid w:val="00D54DC0"/>
    <w:rsid w:val="00D60772"/>
    <w:rsid w:val="00D70132"/>
    <w:rsid w:val="00DA6FF4"/>
    <w:rsid w:val="00DB1325"/>
    <w:rsid w:val="00DB5188"/>
    <w:rsid w:val="00DC3190"/>
    <w:rsid w:val="00DC395A"/>
    <w:rsid w:val="00DF2700"/>
    <w:rsid w:val="00E00780"/>
    <w:rsid w:val="00E03553"/>
    <w:rsid w:val="00E07D6F"/>
    <w:rsid w:val="00E11D92"/>
    <w:rsid w:val="00E167E7"/>
    <w:rsid w:val="00E23F40"/>
    <w:rsid w:val="00E267B1"/>
    <w:rsid w:val="00E26AA4"/>
    <w:rsid w:val="00E27BC9"/>
    <w:rsid w:val="00E628A5"/>
    <w:rsid w:val="00E7099C"/>
    <w:rsid w:val="00E70EF0"/>
    <w:rsid w:val="00EA02EF"/>
    <w:rsid w:val="00EA0D6D"/>
    <w:rsid w:val="00EA37E2"/>
    <w:rsid w:val="00EB3FF5"/>
    <w:rsid w:val="00EB5730"/>
    <w:rsid w:val="00EC02D6"/>
    <w:rsid w:val="00EC7262"/>
    <w:rsid w:val="00ED2A05"/>
    <w:rsid w:val="00ED2F38"/>
    <w:rsid w:val="00F23513"/>
    <w:rsid w:val="00F34046"/>
    <w:rsid w:val="00F403F9"/>
    <w:rsid w:val="00F44951"/>
    <w:rsid w:val="00FC07DF"/>
    <w:rsid w:val="00FF4D96"/>
    <w:rsid w:val="00FF627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273B2A"/>
  <w15:chartTrackingRefBased/>
  <w15:docId w15:val="{F108CF07-7422-6D4A-B316-30CC3B36C7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E27BC9"/>
    <w:pPr>
      <w:spacing w:after="120" w:line="280" w:lineRule="atLeast"/>
    </w:pPr>
    <w:rPr>
      <w:rFonts w:ascii="Arial" w:hAnsi="Arial" w:cs="Times New Roman"/>
      <w:sz w:val="20"/>
      <w:lang w:eastAsia="fr-FR"/>
    </w:rPr>
  </w:style>
  <w:style w:type="paragraph" w:styleId="Titre1">
    <w:name w:val="heading 1"/>
    <w:next w:val="Normal"/>
    <w:link w:val="Titre1Car"/>
    <w:uiPriority w:val="9"/>
    <w:qFormat/>
    <w:rsid w:val="00365B71"/>
    <w:pPr>
      <w:keepNext/>
      <w:keepLines/>
      <w:spacing w:before="240" w:after="360"/>
      <w:outlineLvl w:val="0"/>
    </w:pPr>
    <w:rPr>
      <w:rFonts w:ascii="Verdana" w:eastAsiaTheme="majorEastAsia" w:hAnsi="Verdana" w:cstheme="majorBidi"/>
      <w:b/>
      <w:color w:val="000000" w:themeColor="text1"/>
      <w:sz w:val="32"/>
      <w:szCs w:val="32"/>
    </w:rPr>
  </w:style>
  <w:style w:type="paragraph" w:styleId="Titre2">
    <w:name w:val="heading 2"/>
    <w:next w:val="Normal"/>
    <w:link w:val="Titre2Car"/>
    <w:uiPriority w:val="9"/>
    <w:unhideWhenUsed/>
    <w:qFormat/>
    <w:rsid w:val="00365B71"/>
    <w:pPr>
      <w:keepNext/>
      <w:keepLines/>
      <w:spacing w:before="180" w:after="240"/>
      <w:outlineLvl w:val="1"/>
    </w:pPr>
    <w:rPr>
      <w:rFonts w:ascii="Verdana" w:eastAsiaTheme="majorEastAsia" w:hAnsi="Verdana" w:cstheme="majorBidi"/>
      <w:b/>
      <w:color w:val="000000" w:themeColor="text1"/>
      <w:sz w:val="28"/>
      <w:szCs w:val="26"/>
    </w:rPr>
  </w:style>
  <w:style w:type="paragraph" w:styleId="Titre3">
    <w:name w:val="heading 3"/>
    <w:basedOn w:val="Titre2"/>
    <w:next w:val="Normal"/>
    <w:link w:val="Titre3Car"/>
    <w:uiPriority w:val="9"/>
    <w:unhideWhenUsed/>
    <w:qFormat/>
    <w:rsid w:val="00365B71"/>
    <w:pPr>
      <w:spacing w:before="240" w:after="120"/>
      <w:outlineLvl w:val="2"/>
    </w:pPr>
    <w:rPr>
      <w:b w:val="0"/>
      <w:sz w:val="24"/>
    </w:rPr>
  </w:style>
  <w:style w:type="paragraph" w:styleId="Titre4">
    <w:name w:val="heading 4"/>
    <w:basedOn w:val="Normal"/>
    <w:next w:val="Normal"/>
    <w:link w:val="Titre4Car"/>
    <w:uiPriority w:val="9"/>
    <w:unhideWhenUsed/>
    <w:qFormat/>
    <w:rsid w:val="00EB5730"/>
    <w:pPr>
      <w:keepNext/>
      <w:keepLines/>
      <w:spacing w:before="120" w:after="60"/>
      <w:outlineLvl w:val="3"/>
    </w:pPr>
    <w:rPr>
      <w:rFonts w:eastAsiaTheme="majorEastAsia" w:cstheme="majorBidi"/>
      <w:b/>
      <w:iCs/>
      <w:color w:val="000000" w:themeColor="text1"/>
      <w:sz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65B71"/>
    <w:rPr>
      <w:rFonts w:ascii="Verdana" w:eastAsiaTheme="majorEastAsia" w:hAnsi="Verdana" w:cstheme="majorBidi"/>
      <w:b/>
      <w:color w:val="000000" w:themeColor="text1"/>
      <w:sz w:val="32"/>
      <w:szCs w:val="32"/>
    </w:rPr>
  </w:style>
  <w:style w:type="character" w:customStyle="1" w:styleId="Titre2Car">
    <w:name w:val="Titre 2 Car"/>
    <w:basedOn w:val="Policepardfaut"/>
    <w:link w:val="Titre2"/>
    <w:uiPriority w:val="9"/>
    <w:rsid w:val="00365B71"/>
    <w:rPr>
      <w:rFonts w:ascii="Verdana" w:eastAsiaTheme="majorEastAsia" w:hAnsi="Verdana" w:cstheme="majorBidi"/>
      <w:b/>
      <w:color w:val="000000" w:themeColor="text1"/>
      <w:sz w:val="28"/>
      <w:szCs w:val="26"/>
    </w:rPr>
  </w:style>
  <w:style w:type="character" w:customStyle="1" w:styleId="Titre3Car">
    <w:name w:val="Titre 3 Car"/>
    <w:basedOn w:val="Policepardfaut"/>
    <w:link w:val="Titre3"/>
    <w:uiPriority w:val="9"/>
    <w:rsid w:val="00365B71"/>
    <w:rPr>
      <w:rFonts w:ascii="Verdana" w:eastAsiaTheme="majorEastAsia" w:hAnsi="Verdana" w:cstheme="majorBidi"/>
      <w:color w:val="000000" w:themeColor="text1"/>
      <w:szCs w:val="26"/>
    </w:rPr>
  </w:style>
  <w:style w:type="character" w:styleId="lev">
    <w:name w:val="Strong"/>
    <w:basedOn w:val="Policepardfaut"/>
    <w:uiPriority w:val="22"/>
    <w:qFormat/>
    <w:rsid w:val="008B1D11"/>
    <w:rPr>
      <w:b/>
      <w:bCs/>
    </w:rPr>
  </w:style>
  <w:style w:type="character" w:styleId="Accentuation">
    <w:name w:val="Emphasis"/>
    <w:basedOn w:val="Policepardfaut"/>
    <w:uiPriority w:val="20"/>
    <w:qFormat/>
    <w:rsid w:val="00623846"/>
    <w:rPr>
      <w:i/>
      <w:iCs/>
    </w:rPr>
  </w:style>
  <w:style w:type="paragraph" w:styleId="Paragraphedeliste">
    <w:name w:val="List Paragraph"/>
    <w:basedOn w:val="Normal"/>
    <w:uiPriority w:val="34"/>
    <w:qFormat/>
    <w:rsid w:val="00E27BC9"/>
    <w:pPr>
      <w:spacing w:before="40" w:after="40"/>
      <w:ind w:left="720"/>
      <w:contextualSpacing/>
    </w:pPr>
  </w:style>
  <w:style w:type="table" w:styleId="Grilledutableau">
    <w:name w:val="Table Grid"/>
    <w:basedOn w:val="TableauNormal"/>
    <w:uiPriority w:val="39"/>
    <w:rsid w:val="00281F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uces">
    <w:name w:val="List Bullet"/>
    <w:basedOn w:val="Normal"/>
    <w:uiPriority w:val="99"/>
    <w:unhideWhenUsed/>
    <w:rsid w:val="00F34046"/>
    <w:pPr>
      <w:numPr>
        <w:numId w:val="1"/>
      </w:numPr>
      <w:contextualSpacing/>
    </w:pPr>
  </w:style>
  <w:style w:type="paragraph" w:styleId="En-tte">
    <w:name w:val="header"/>
    <w:basedOn w:val="Normal"/>
    <w:link w:val="En-tteCar"/>
    <w:uiPriority w:val="99"/>
    <w:unhideWhenUsed/>
    <w:rsid w:val="00D14FC7"/>
    <w:pPr>
      <w:tabs>
        <w:tab w:val="center" w:pos="4153"/>
        <w:tab w:val="right" w:pos="8306"/>
      </w:tabs>
    </w:pPr>
  </w:style>
  <w:style w:type="character" w:customStyle="1" w:styleId="En-tteCar">
    <w:name w:val="En-tête Car"/>
    <w:basedOn w:val="Policepardfaut"/>
    <w:link w:val="En-tte"/>
    <w:uiPriority w:val="99"/>
    <w:rsid w:val="00D14FC7"/>
  </w:style>
  <w:style w:type="paragraph" w:styleId="Pieddepage">
    <w:name w:val="footer"/>
    <w:basedOn w:val="Normal"/>
    <w:link w:val="PieddepageCar"/>
    <w:autoRedefine/>
    <w:unhideWhenUsed/>
    <w:rsid w:val="004D7D38"/>
    <w:pPr>
      <w:tabs>
        <w:tab w:val="center" w:pos="4153"/>
        <w:tab w:val="right" w:pos="8306"/>
      </w:tabs>
    </w:pPr>
  </w:style>
  <w:style w:type="character" w:customStyle="1" w:styleId="PieddepageCar">
    <w:name w:val="Pied de page Car"/>
    <w:basedOn w:val="Policepardfaut"/>
    <w:link w:val="Pieddepage"/>
    <w:uiPriority w:val="99"/>
    <w:rsid w:val="004D7D38"/>
    <w:rPr>
      <w:rFonts w:asciiTheme="majorHAnsi" w:hAnsiTheme="majorHAnsi"/>
      <w:sz w:val="20"/>
    </w:rPr>
  </w:style>
  <w:style w:type="character" w:styleId="Numrodepage">
    <w:name w:val="page number"/>
    <w:basedOn w:val="Policepardfaut"/>
    <w:uiPriority w:val="99"/>
    <w:semiHidden/>
    <w:unhideWhenUsed/>
    <w:rsid w:val="00E23F40"/>
  </w:style>
  <w:style w:type="character" w:styleId="Lienhypertexte">
    <w:name w:val="Hyperlink"/>
    <w:basedOn w:val="Policepardfaut"/>
    <w:uiPriority w:val="99"/>
    <w:unhideWhenUsed/>
    <w:rsid w:val="004741A6"/>
    <w:rPr>
      <w:color w:val="0563C1" w:themeColor="hyperlink"/>
      <w:u w:val="single"/>
    </w:rPr>
  </w:style>
  <w:style w:type="character" w:customStyle="1" w:styleId="Mentionnonrsolue1">
    <w:name w:val="Mention non résolue1"/>
    <w:basedOn w:val="Policepardfaut"/>
    <w:uiPriority w:val="99"/>
    <w:rsid w:val="004741A6"/>
    <w:rPr>
      <w:color w:val="605E5C"/>
      <w:shd w:val="clear" w:color="auto" w:fill="E1DFDD"/>
    </w:rPr>
  </w:style>
  <w:style w:type="paragraph" w:styleId="Sansinterligne">
    <w:name w:val="No Spacing"/>
    <w:uiPriority w:val="1"/>
    <w:qFormat/>
    <w:rsid w:val="00E07D6F"/>
    <w:rPr>
      <w:rFonts w:asciiTheme="majorHAnsi" w:hAnsiTheme="majorHAnsi"/>
    </w:rPr>
  </w:style>
  <w:style w:type="character" w:styleId="Accentuationintense">
    <w:name w:val="Intense Emphasis"/>
    <w:basedOn w:val="Policepardfaut"/>
    <w:uiPriority w:val="21"/>
    <w:qFormat/>
    <w:rsid w:val="00991994"/>
    <w:rPr>
      <w:i/>
      <w:iCs/>
      <w:color w:val="000000" w:themeColor="text1"/>
    </w:rPr>
  </w:style>
  <w:style w:type="paragraph" w:styleId="Citation">
    <w:name w:val="Quote"/>
    <w:basedOn w:val="Normal"/>
    <w:next w:val="Normal"/>
    <w:link w:val="CitationCar"/>
    <w:uiPriority w:val="29"/>
    <w:qFormat/>
    <w:rsid w:val="00225221"/>
    <w:pPr>
      <w:spacing w:before="200" w:after="160"/>
      <w:ind w:left="864" w:right="864"/>
      <w:jc w:val="center"/>
    </w:pPr>
    <w:rPr>
      <w:i/>
      <w:iCs/>
      <w:color w:val="404040" w:themeColor="text1" w:themeTint="BF"/>
    </w:rPr>
  </w:style>
  <w:style w:type="character" w:customStyle="1" w:styleId="CitationCar">
    <w:name w:val="Citation Car"/>
    <w:basedOn w:val="Policepardfaut"/>
    <w:link w:val="Citation"/>
    <w:uiPriority w:val="29"/>
    <w:rsid w:val="00225221"/>
    <w:rPr>
      <w:rFonts w:asciiTheme="majorHAnsi" w:hAnsiTheme="majorHAnsi"/>
      <w:i/>
      <w:iCs/>
      <w:color w:val="404040" w:themeColor="text1" w:themeTint="BF"/>
    </w:rPr>
  </w:style>
  <w:style w:type="paragraph" w:styleId="Citationintense">
    <w:name w:val="Intense Quote"/>
    <w:basedOn w:val="Normal"/>
    <w:next w:val="Normal"/>
    <w:link w:val="CitationintenseCar"/>
    <w:uiPriority w:val="30"/>
    <w:qFormat/>
    <w:rsid w:val="00225221"/>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CitationintenseCar">
    <w:name w:val="Citation intense Car"/>
    <w:basedOn w:val="Policepardfaut"/>
    <w:link w:val="Citationintense"/>
    <w:uiPriority w:val="30"/>
    <w:rsid w:val="00225221"/>
    <w:rPr>
      <w:rFonts w:asciiTheme="majorHAnsi" w:hAnsiTheme="majorHAnsi"/>
      <w:i/>
      <w:iCs/>
      <w:color w:val="4472C4" w:themeColor="accent1"/>
    </w:rPr>
  </w:style>
  <w:style w:type="character" w:styleId="Rfrencelgre">
    <w:name w:val="Subtle Reference"/>
    <w:basedOn w:val="Policepardfaut"/>
    <w:uiPriority w:val="31"/>
    <w:qFormat/>
    <w:rsid w:val="00225221"/>
    <w:rPr>
      <w:smallCaps/>
      <w:color w:val="5A5A5A" w:themeColor="text1" w:themeTint="A5"/>
    </w:rPr>
  </w:style>
  <w:style w:type="paragraph" w:customStyle="1" w:styleId="p1">
    <w:name w:val="p1"/>
    <w:basedOn w:val="Normal"/>
    <w:rsid w:val="00ED2A05"/>
    <w:rPr>
      <w:rFonts w:cs="Arial"/>
      <w:sz w:val="15"/>
      <w:szCs w:val="15"/>
    </w:rPr>
  </w:style>
  <w:style w:type="character" w:styleId="Lienhypertextesuivivisit">
    <w:name w:val="FollowedHyperlink"/>
    <w:basedOn w:val="Policepardfaut"/>
    <w:uiPriority w:val="99"/>
    <w:semiHidden/>
    <w:unhideWhenUsed/>
    <w:rsid w:val="00ED2A05"/>
    <w:rPr>
      <w:color w:val="954F72" w:themeColor="followedHyperlink"/>
      <w:u w:val="single"/>
    </w:rPr>
  </w:style>
  <w:style w:type="character" w:customStyle="1" w:styleId="Titre4Car">
    <w:name w:val="Titre 4 Car"/>
    <w:basedOn w:val="Policepardfaut"/>
    <w:link w:val="Titre4"/>
    <w:uiPriority w:val="9"/>
    <w:rsid w:val="00EB5730"/>
    <w:rPr>
      <w:rFonts w:ascii="Arial" w:eastAsiaTheme="majorEastAsia" w:hAnsi="Arial" w:cstheme="majorBidi"/>
      <w:b/>
      <w:iCs/>
      <w:color w:val="000000" w:themeColor="text1"/>
      <w:sz w:val="22"/>
      <w:lang w:eastAsia="fr-FR"/>
    </w:rPr>
  </w:style>
  <w:style w:type="character" w:styleId="Accentuationlgre">
    <w:name w:val="Subtle Emphasis"/>
    <w:basedOn w:val="Policepardfaut"/>
    <w:uiPriority w:val="19"/>
    <w:qFormat/>
    <w:rsid w:val="00460D86"/>
    <w:rPr>
      <w:i/>
      <w:iCs/>
      <w:color w:val="404040" w:themeColor="text1" w:themeTint="BF"/>
    </w:rPr>
  </w:style>
  <w:style w:type="paragraph" w:customStyle="1" w:styleId="Tableau">
    <w:name w:val="Tableau"/>
    <w:basedOn w:val="Normal"/>
    <w:qFormat/>
    <w:rsid w:val="00EB5730"/>
    <w:pPr>
      <w:spacing w:line="240" w:lineRule="atLeast"/>
    </w:pPr>
    <w:rPr>
      <w:sz w:val="18"/>
      <w:szCs w:val="18"/>
    </w:rPr>
  </w:style>
  <w:style w:type="paragraph" w:styleId="Textedebulles">
    <w:name w:val="Balloon Text"/>
    <w:basedOn w:val="Normal"/>
    <w:link w:val="TextedebullesCar"/>
    <w:uiPriority w:val="99"/>
    <w:semiHidden/>
    <w:unhideWhenUsed/>
    <w:rsid w:val="00551C2F"/>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551C2F"/>
    <w:rPr>
      <w:rFonts w:ascii="Segoe UI" w:hAnsi="Segoe UI" w:cs="Segoe UI"/>
      <w:sz w:val="18"/>
      <w:szCs w:val="18"/>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4822896">
      <w:bodyDiv w:val="1"/>
      <w:marLeft w:val="0"/>
      <w:marRight w:val="0"/>
      <w:marTop w:val="0"/>
      <w:marBottom w:val="0"/>
      <w:divBdr>
        <w:top w:val="none" w:sz="0" w:space="0" w:color="auto"/>
        <w:left w:val="none" w:sz="0" w:space="0" w:color="auto"/>
        <w:bottom w:val="none" w:sz="0" w:space="0" w:color="auto"/>
        <w:right w:val="none" w:sz="0" w:space="0" w:color="auto"/>
      </w:divBdr>
    </w:div>
    <w:div w:id="627517117">
      <w:bodyDiv w:val="1"/>
      <w:marLeft w:val="0"/>
      <w:marRight w:val="0"/>
      <w:marTop w:val="0"/>
      <w:marBottom w:val="0"/>
      <w:divBdr>
        <w:top w:val="none" w:sz="0" w:space="0" w:color="auto"/>
        <w:left w:val="none" w:sz="0" w:space="0" w:color="auto"/>
        <w:bottom w:val="none" w:sz="0" w:space="0" w:color="auto"/>
        <w:right w:val="none" w:sz="0" w:space="0" w:color="auto"/>
      </w:divBdr>
    </w:div>
    <w:div w:id="859246784">
      <w:bodyDiv w:val="1"/>
      <w:marLeft w:val="0"/>
      <w:marRight w:val="0"/>
      <w:marTop w:val="0"/>
      <w:marBottom w:val="0"/>
      <w:divBdr>
        <w:top w:val="none" w:sz="0" w:space="0" w:color="auto"/>
        <w:left w:val="none" w:sz="0" w:space="0" w:color="auto"/>
        <w:bottom w:val="none" w:sz="0" w:space="0" w:color="auto"/>
        <w:right w:val="none" w:sz="0" w:space="0" w:color="auto"/>
      </w:divBdr>
    </w:div>
    <w:div w:id="1543135186">
      <w:bodyDiv w:val="1"/>
      <w:marLeft w:val="0"/>
      <w:marRight w:val="0"/>
      <w:marTop w:val="0"/>
      <w:marBottom w:val="0"/>
      <w:divBdr>
        <w:top w:val="none" w:sz="0" w:space="0" w:color="auto"/>
        <w:left w:val="none" w:sz="0" w:space="0" w:color="auto"/>
        <w:bottom w:val="none" w:sz="0" w:space="0" w:color="auto"/>
        <w:right w:val="none" w:sz="0" w:space="0" w:color="auto"/>
      </w:divBdr>
    </w:div>
    <w:div w:id="1553148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615CC0-9302-43D1-8BAE-B0207F46C2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1295</Words>
  <Characters>7126</Characters>
  <Application>Microsoft Office Word</Application>
  <DocSecurity>0</DocSecurity>
  <Lines>59</Lines>
  <Paragraphs>16</Paragraphs>
  <ScaleCrop>false</ScaleCrop>
  <HeadingPairs>
    <vt:vector size="2" baseType="variant">
      <vt:variant>
        <vt:lpstr>Titre</vt:lpstr>
      </vt:variant>
      <vt:variant>
        <vt:i4>1</vt:i4>
      </vt:variant>
    </vt:vector>
  </HeadingPairs>
  <TitlesOfParts>
    <vt:vector size="1" baseType="lpstr">
      <vt:lpstr>Chapitre 1 - Les rudiments de l'accessibilité</vt:lpstr>
    </vt:vector>
  </TitlesOfParts>
  <Manager/>
  <Company/>
  <LinksUpToDate>false</LinksUpToDate>
  <CharactersWithSpaces>8405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Chapitre 1 - Les rudiments de l'accessibilité</dc:title>
  <dc:subject/>
  <dc:creator>Morin, Philippe</dc:creator>
  <cp:keywords/>
  <dc:description/>
  <cp:lastModifiedBy>Proulx, Geneviève/Anais</cp:lastModifiedBy>
  <cp:revision>4</cp:revision>
  <cp:lastPrinted>2019-03-13T15:05:00Z</cp:lastPrinted>
  <dcterms:created xsi:type="dcterms:W3CDTF">2020-12-03T18:28:00Z</dcterms:created>
  <dcterms:modified xsi:type="dcterms:W3CDTF">2020-12-03T19:20:00Z</dcterms:modified>
  <cp:category/>
</cp:coreProperties>
</file>