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146F1" w14:textId="3C7D8AD7" w:rsidR="008F7FAA" w:rsidRDefault="008F7FAA" w:rsidP="008F7FAA">
      <w:pPr>
        <w:pStyle w:val="Titre1"/>
      </w:pPr>
      <w:r>
        <w:t>CHAPITRE 16</w:t>
      </w:r>
      <w:r w:rsidR="00467D5C">
        <w:t xml:space="preserve"> – Étude de cas</w:t>
      </w:r>
      <w:bookmarkStart w:id="0" w:name="_GoBack"/>
      <w:bookmarkEnd w:id="0"/>
    </w:p>
    <w:p w14:paraId="50EB4ED6" w14:textId="77777777" w:rsidR="008F7FAA" w:rsidRDefault="008F7FAA" w:rsidP="008F7FAA">
      <w:pPr>
        <w:pStyle w:val="Titre2"/>
      </w:pPr>
      <w:r>
        <w:t xml:space="preserve">Ensemble </w:t>
      </w:r>
      <w:r w:rsidRPr="008F7FAA">
        <w:t>pour</w:t>
      </w:r>
      <w:r>
        <w:t xml:space="preserve"> réussir</w:t>
      </w:r>
    </w:p>
    <w:p w14:paraId="6E3C45ED" w14:textId="77777777" w:rsidR="008F7FAA" w:rsidRDefault="008F7FAA" w:rsidP="008F7FAA">
      <w:pPr>
        <w:pStyle w:val="Titre3"/>
        <w:spacing w:before="0" w:after="0"/>
      </w:pPr>
      <w:r>
        <w:t>Mustapha Bettache</w:t>
      </w:r>
    </w:p>
    <w:p w14:paraId="19537B4D" w14:textId="77777777" w:rsidR="008F7FAA" w:rsidRDefault="008F7FAA" w:rsidP="008F7FAA">
      <w:pPr>
        <w:pStyle w:val="Titre3"/>
        <w:spacing w:before="0" w:after="0"/>
      </w:pPr>
      <w:r>
        <w:t>Professeur titulaire</w:t>
      </w:r>
    </w:p>
    <w:p w14:paraId="32AE0986" w14:textId="77777777" w:rsidR="008F7FAA" w:rsidRDefault="008F7FAA" w:rsidP="008F7FAA">
      <w:pPr>
        <w:pStyle w:val="Titre3"/>
        <w:spacing w:before="0" w:after="0"/>
      </w:pPr>
      <w:r>
        <w:t>Département des relations industrielles</w:t>
      </w:r>
    </w:p>
    <w:p w14:paraId="537997BE" w14:textId="1266E899" w:rsidR="008F7FAA" w:rsidRDefault="008F7FAA" w:rsidP="008F7FAA">
      <w:pPr>
        <w:pStyle w:val="Titre3"/>
        <w:spacing w:before="0" w:after="0"/>
      </w:pPr>
      <w:r>
        <w:t>Université Laval</w:t>
      </w:r>
    </w:p>
    <w:p w14:paraId="7ABF4084" w14:textId="77777777" w:rsidR="008F7FAA" w:rsidRDefault="008F7FAA" w:rsidP="008F7FAA">
      <w:pPr>
        <w:spacing w:before="240"/>
      </w:pPr>
      <w:r>
        <w:t>Depuis plus de 15 ans, l’entreprise INFOPLUS offre des services dans les domaines de l’informatique et de la bureautique. Elle possède sept succursales réparties dans de grandes villes du Québec : Montréal, Québec, Laval, Gatineau, Longueuil, Sherbrooke et Lévis. Elle amorce une stratégie de fusion avec un de ses concurrents, l’entreprise BUROTIC, en vue d’accroître ses revenus et ses parts de marché.</w:t>
      </w:r>
    </w:p>
    <w:p w14:paraId="161B08C2" w14:textId="77777777" w:rsidR="008F7FAA" w:rsidRDefault="008F7FAA" w:rsidP="008F7FAA">
      <w:pPr>
        <w:spacing w:before="240"/>
      </w:pPr>
      <w:r>
        <w:t>Les principales forces d’INFOPLUS résident dans l’expertise de son personnel et la diversification des services offerts. Elle emploie sept ingénieurs informaticiens de haut calibre : trois dans le matériel informatique physique (</w:t>
      </w:r>
      <w:r w:rsidRPr="006706F1">
        <w:rPr>
          <w:i/>
        </w:rPr>
        <w:t>hardware</w:t>
      </w:r>
      <w:r>
        <w:t>) et quatre dans les logiciels (</w:t>
      </w:r>
      <w:r w:rsidRPr="006706F1">
        <w:rPr>
          <w:i/>
        </w:rPr>
        <w:t>software</w:t>
      </w:r>
      <w:r>
        <w:t>). Elle emploie aussi 14 techniciens, dont 7 analystes-programmeurs et 7 programmeurs. La moitié de son personnel prendra sa retraite d’ici cinq ans. La moyenne d’âge des employés est de 45 ans.</w:t>
      </w:r>
    </w:p>
    <w:p w14:paraId="262BB73F" w14:textId="77777777" w:rsidR="008F7FAA" w:rsidRDefault="008F7FAA" w:rsidP="008F7FAA">
      <w:pPr>
        <w:spacing w:before="240"/>
      </w:pPr>
      <w:r>
        <w:t xml:space="preserve">L’entreprise BUROTIC, quant à elle, puise sa force dans l’étendue de son implantation un peu partout au Québec et la multiplication des points d’intervention. Elle offre ses services dans des villes importantes, mais aussi dans des agglomérations de plus petite taille. Elle est active dans une vingtaine de villes, ce qui lui donne l’avantage d’être compétitive en rejoignant une clientèle considérable hors des grands centres urbains. BUROTIC emploie 3 ingénieurs informaticiens spécialisés dans la bureautique et 20 techniciens programmeurs. La moitié de son personnel est féminin. Les trois ingénieurs bénéficient d’une très bonne réputation auprès de la clientèle, avec laquelle ils entretiennent des rapports personnalisés. </w:t>
      </w:r>
    </w:p>
    <w:p w14:paraId="7621AB46" w14:textId="77777777" w:rsidR="008F7FAA" w:rsidRDefault="008F7FAA" w:rsidP="008F7FAA">
      <w:pPr>
        <w:spacing w:before="240"/>
      </w:pPr>
      <w:r>
        <w:t>Au plan de la gestion, les deux entreprises se distinguent nettement. INFOPLUS a un style de gestion participative qui octroie une grande autonomie à son personnel dans l’exécution du travail. On y pratique la formation continue, tant technique que comportementale, qui n’est toutefois accessible qu’aux plus anciens. Les employés plus jeunes ne sont pas satisfaits de cette disposition enchâssée dans la convention collective actuelle et l’ont déjà exprimé à plusieurs reprises, revendiquant l’accès à la formation au même titre que les employés plus anciens. Mécontents, se sentant exclus des programmes de formation et ayant le sentiment d’être mis à l’écart, ils ont laissé entendre qu’ils allaient se chercher un autre emploi.</w:t>
      </w:r>
    </w:p>
    <w:p w14:paraId="04B48FE6" w14:textId="77777777" w:rsidR="008F7FAA" w:rsidRDefault="008F7FAA" w:rsidP="008F7FAA">
      <w:pPr>
        <w:spacing w:before="240"/>
      </w:pPr>
      <w:r>
        <w:t xml:space="preserve">Heureusement, les communications tant horizontales que verticales vont bon train au sein de l’entreprise et contribuent fortement à améliorer le climat de travail. La rapidité de réponse aux besoins de la clientèle et la compétence du personnel représentent des facteurs de succès </w:t>
      </w:r>
      <w:r>
        <w:lastRenderedPageBreak/>
        <w:t>indéniables d’INFOPLUS, indispensables à la qualité des services offerts aux clients. On accorde systématiquement des primes de résultats trimestriels, ce qui contribue à mobiliser davantage le personnel de l’entreprise.</w:t>
      </w:r>
    </w:p>
    <w:p w14:paraId="1E011A96" w14:textId="77777777" w:rsidR="008F7FAA" w:rsidRDefault="008F7FAA" w:rsidP="008F7FAA">
      <w:pPr>
        <w:spacing w:before="240"/>
      </w:pPr>
      <w:r>
        <w:t>Chez BUROTIC, le système de gestion se caractérise par un style d’encadrement autoritaire, et les responsabilités des employés sont préalablement définies. La rémunération s’appuie sur la règle d’ancienneté, et l’encadrement n’est pas propice à encourager les employés, comme c’est le cas chez INFOPLUS. En ce qui a trait à la formation, seules des séances de rattrapage sont organisées, notamment pour les ingénieurs.</w:t>
      </w:r>
    </w:p>
    <w:p w14:paraId="2B65B087" w14:textId="77777777" w:rsidR="008F7FAA" w:rsidRDefault="008F7FAA" w:rsidP="008F7FAA">
      <w:pPr>
        <w:spacing w:before="240"/>
      </w:pPr>
      <w:r>
        <w:t>Les employés des deux entreprises sont rattachés à un même syndicat, mais leurs conventions collectives diffèrent sensiblement. La fusion des deux organisations nécessite une intégration des systèmes de gestion comptable et financière. Le siège d’INFOPLUS est maintenant celui d’INFOTIC, la nouvelle entreprise née de la fusion d’INFOPLUS et de BUROTIC. Le personnel de BUROTIC a quant à lui été déplacé vers le nouveau siège, celui d’INFOTIC, qui a aménagé de plus grands espaces en raison de la fusion.</w:t>
      </w:r>
    </w:p>
    <w:p w14:paraId="7732022E" w14:textId="77777777" w:rsidR="008F7FAA" w:rsidRDefault="008F7FAA" w:rsidP="008F7FAA">
      <w:pPr>
        <w:spacing w:before="240"/>
      </w:pPr>
      <w:r>
        <w:t>Les employés d’INFOPLUS gardent le moral et voient la fusion d’un bon œil. À l’inverse, chez BUROTIC, l’insécurité règne au sein du personnel et le climat de travail se détériore. Certains employés ont même ouvertement exprimé leur crainte de perdre leur emploi et d’autres de se voir rétrogradés. Des employés, particulièrement des femmes, ont mis en avant l’éloignement du nouveau siège de leur domicile, ce qui affecte certaines de leurs habitudes, notamment l’accompagnement des enfants à l’école. Il semble même que des démissions se préparent, surtout parmi les ingénieurs de BUROTIC. Cette rumeur prend d’ailleurs de plus en plus d’ampleur.</w:t>
      </w:r>
    </w:p>
    <w:p w14:paraId="548AA86E" w14:textId="77777777" w:rsidR="008F7FAA" w:rsidRDefault="008F7FAA" w:rsidP="008F7FAA">
      <w:pPr>
        <w:spacing w:before="240"/>
      </w:pPr>
      <w:r>
        <w:t>La nouvelle entreprise INFOTIC conçoit une stratégie dynamique axée sur quatre dimensions :</w:t>
      </w:r>
    </w:p>
    <w:p w14:paraId="666C5867" w14:textId="6A79CCC8" w:rsidR="008F7FAA" w:rsidRDefault="008F7FAA" w:rsidP="008F7FAA">
      <w:pPr>
        <w:pStyle w:val="Paragraphedeliste"/>
        <w:numPr>
          <w:ilvl w:val="0"/>
          <w:numId w:val="11"/>
        </w:numPr>
      </w:pPr>
      <w:r>
        <w:t>L’offre d’une gamme variée de services à la clientèle</w:t>
      </w:r>
    </w:p>
    <w:p w14:paraId="65885C74" w14:textId="2EA2E2F3" w:rsidR="008F7FAA" w:rsidRDefault="008F7FAA" w:rsidP="008F7FAA">
      <w:pPr>
        <w:pStyle w:val="Paragraphedeliste"/>
        <w:numPr>
          <w:ilvl w:val="0"/>
          <w:numId w:val="11"/>
        </w:numPr>
      </w:pPr>
      <w:r>
        <w:t>L’offre de services de très grande qualité</w:t>
      </w:r>
    </w:p>
    <w:p w14:paraId="3B4FC3B4" w14:textId="6B56F217" w:rsidR="008F7FAA" w:rsidRDefault="008F7FAA" w:rsidP="008F7FAA">
      <w:pPr>
        <w:pStyle w:val="Paragraphedeliste"/>
        <w:numPr>
          <w:ilvl w:val="0"/>
          <w:numId w:val="11"/>
        </w:numPr>
      </w:pPr>
      <w:r>
        <w:t>L’élargissement du bassin de la clientèle et des parts de marché</w:t>
      </w:r>
    </w:p>
    <w:p w14:paraId="7E13AA00" w14:textId="64DCDF52" w:rsidR="008F7FAA" w:rsidRDefault="008F7FAA" w:rsidP="008F7FAA">
      <w:pPr>
        <w:pStyle w:val="Paragraphedeliste"/>
        <w:numPr>
          <w:ilvl w:val="0"/>
          <w:numId w:val="11"/>
        </w:numPr>
      </w:pPr>
      <w:r>
        <w:t>La mise à sa disposition d’un personnel compétent et stable</w:t>
      </w:r>
    </w:p>
    <w:p w14:paraId="536DCB7E" w14:textId="77777777" w:rsidR="008F7FAA" w:rsidRDefault="008F7FAA" w:rsidP="008F7FAA">
      <w:pPr>
        <w:spacing w:before="240"/>
      </w:pPr>
      <w:r>
        <w:t>Son succès dépend toutefois d’une collaboration très étroite entre les employés et d’une très forte mobilisation de ces derniers. La direction des ressources humaines est donc mise à contribution pour décliner une philosophie de gestion permettant d’améliorer l’efficacité organisationnelle de la nouvelle entreprise. Dans cet objectif, on décide de faire appel à un consultant externe afin d’analyser la situation générale de l’entreprise et de formuler des recommandations pour l’améliorer.</w:t>
      </w:r>
    </w:p>
    <w:p w14:paraId="3624869A" w14:textId="77777777" w:rsidR="008F7FAA" w:rsidRPr="006706F1" w:rsidRDefault="008F7FAA" w:rsidP="008F7FAA">
      <w:pPr>
        <w:pStyle w:val="Titre4"/>
      </w:pPr>
      <w:r w:rsidRPr="006706F1">
        <w:t>Questions</w:t>
      </w:r>
    </w:p>
    <w:p w14:paraId="324C9604" w14:textId="1A4C906F" w:rsidR="008F7FAA" w:rsidRDefault="008F7FAA" w:rsidP="008F7FAA">
      <w:pPr>
        <w:pStyle w:val="Paragraphedeliste"/>
        <w:numPr>
          <w:ilvl w:val="0"/>
          <w:numId w:val="12"/>
        </w:numPr>
      </w:pPr>
      <w:r>
        <w:t>Selon vous, quel est l’élément déclencheur dans le cas présenté ? (On entend par « élément déclencheur » un événement qui nécessite une intervention immédiate.)</w:t>
      </w:r>
    </w:p>
    <w:p w14:paraId="3F23E9A6" w14:textId="64E6AB1C" w:rsidR="008F7FAA" w:rsidRDefault="008F7FAA" w:rsidP="008F7FAA">
      <w:pPr>
        <w:pStyle w:val="Paragraphedeliste"/>
        <w:numPr>
          <w:ilvl w:val="0"/>
          <w:numId w:val="12"/>
        </w:numPr>
      </w:pPr>
      <w:r>
        <w:lastRenderedPageBreak/>
        <w:t>Quel diagnostic situationnel poseriez-vous ici ?</w:t>
      </w:r>
    </w:p>
    <w:p w14:paraId="5FC7691C" w14:textId="69A1927D" w:rsidR="008F7FAA" w:rsidRDefault="008F7FAA" w:rsidP="008F7FAA">
      <w:pPr>
        <w:pStyle w:val="Paragraphedeliste"/>
        <w:numPr>
          <w:ilvl w:val="0"/>
          <w:numId w:val="12"/>
        </w:numPr>
      </w:pPr>
      <w:r>
        <w:t>Proposez des pistes de solutions pour corriger la situation.</w:t>
      </w:r>
    </w:p>
    <w:p w14:paraId="00182EEB" w14:textId="3BD15642" w:rsidR="008F7FAA" w:rsidRDefault="008F7FAA" w:rsidP="008F7FAA">
      <w:pPr>
        <w:pStyle w:val="Paragraphedeliste"/>
        <w:numPr>
          <w:ilvl w:val="0"/>
          <w:numId w:val="12"/>
        </w:numPr>
      </w:pPr>
      <w:r>
        <w:t>Suggérez un plan pour la mise en œuvre des solutions que vous préconisez.</w:t>
      </w:r>
    </w:p>
    <w:p w14:paraId="68E708B3" w14:textId="77777777" w:rsidR="008F7FAA" w:rsidRDefault="008F7FAA" w:rsidP="00995D80">
      <w:pPr>
        <w:pStyle w:val="Paragraphedeliste"/>
      </w:pPr>
    </w:p>
    <w:p w14:paraId="558BAA4B" w14:textId="0245BC5C" w:rsidR="008F7FAA" w:rsidRDefault="008F7FAA" w:rsidP="008F7FAA">
      <w:pPr>
        <w:pStyle w:val="Titre2"/>
      </w:pPr>
      <w:r>
        <w:t>NOTES PÉDAGOGIQUES</w:t>
      </w:r>
    </w:p>
    <w:p w14:paraId="6A10D09E" w14:textId="77777777" w:rsidR="008F7FAA" w:rsidRPr="006706F1" w:rsidRDefault="008F7FAA" w:rsidP="008F7FAA">
      <w:pPr>
        <w:pStyle w:val="Titre4"/>
      </w:pPr>
      <w:r w:rsidRPr="006706F1">
        <w:t>1. Selon vous, quel est l’élément déclencheur dans le cas présenté ? (On entend par « élément déclencheur » un événement qui nécessite une intervention immédiate.)</w:t>
      </w:r>
    </w:p>
    <w:p w14:paraId="22202148" w14:textId="77777777" w:rsidR="008F7FAA" w:rsidRDefault="008F7FAA" w:rsidP="008F7FAA">
      <w:r>
        <w:t xml:space="preserve">Il s’agit de la propagation de rumeurs de démissions d’ingénieurs, et ce, dans un mauvais climat de travail caractérisé par l’insécurité du personnel associée à un sentiment de discrimination (anciens contre jeunes) et par la crainte de pertes d’emploi ou de rétrogradations dans le contexte de la fusion des deux entreprises. </w:t>
      </w:r>
    </w:p>
    <w:p w14:paraId="45A97F81" w14:textId="77777777" w:rsidR="008F7FAA" w:rsidRPr="006706F1" w:rsidRDefault="008F7FAA" w:rsidP="008F7FAA">
      <w:pPr>
        <w:pStyle w:val="Titre4"/>
      </w:pPr>
      <w:r w:rsidRPr="006706F1">
        <w:t>2. Quel diagnostic situationnel poseriez-vous ici ?</w:t>
      </w:r>
    </w:p>
    <w:p w14:paraId="128D421F" w14:textId="77777777" w:rsidR="008F7FAA" w:rsidRDefault="008F7FAA" w:rsidP="008F7FAA">
      <w:r>
        <w:t>On est ici témoin d’un problème de gestion de changement et d’adaptation de la philosophie GRH (ancienneté, clauses de disparité de traitement, conciliation travail-famille, gestion de la diversité, etc.) et des autres instruments (systèmes financier et comptable, convention collective, etc.), dans un contexte de fusion d’entreprises en quête de performance économique (accroissement des revenus et des parts de marché en garantissant la diversité des services à la clientèle).</w:t>
      </w:r>
    </w:p>
    <w:p w14:paraId="502E52F6" w14:textId="77777777" w:rsidR="008F7FAA" w:rsidRPr="006706F1" w:rsidRDefault="008F7FAA" w:rsidP="008F7FAA">
      <w:pPr>
        <w:pStyle w:val="Titre4"/>
      </w:pPr>
      <w:r w:rsidRPr="006706F1">
        <w:t>3. Proposez des pistes de solutions pour corriger la situation.</w:t>
      </w:r>
    </w:p>
    <w:p w14:paraId="1C318DF2" w14:textId="77777777" w:rsidR="008F7FAA" w:rsidRDefault="008F7FAA" w:rsidP="008F7FAA">
      <w:r>
        <w:t>La solution préconisée comporte plusieurs volets :</w:t>
      </w:r>
    </w:p>
    <w:p w14:paraId="341F49F1" w14:textId="22E9C5CD" w:rsidR="008F7FAA" w:rsidRDefault="008F7FAA" w:rsidP="008F7FAA">
      <w:pPr>
        <w:pStyle w:val="Paragraphedeliste"/>
        <w:numPr>
          <w:ilvl w:val="0"/>
          <w:numId w:val="13"/>
        </w:numPr>
      </w:pPr>
      <w:r>
        <w:t>L’établissement d’un plan de communication pour informer les employés des changements associés à la fusion</w:t>
      </w:r>
    </w:p>
    <w:p w14:paraId="605F621F" w14:textId="77777777" w:rsidR="008F7FAA" w:rsidRDefault="008F7FAA" w:rsidP="008F7FAA">
      <w:pPr>
        <w:pStyle w:val="Paragraphedeliste"/>
        <w:numPr>
          <w:ilvl w:val="0"/>
          <w:numId w:val="13"/>
        </w:numPr>
      </w:pPr>
      <w:r>
        <w:t xml:space="preserve">L’introduction des changements de manière méthodique, par exemple en recourant à un modèle tel celui proposé par Kurt Lewin, qui s’effectue en trois phases : </w:t>
      </w:r>
    </w:p>
    <w:p w14:paraId="3B726C1B" w14:textId="2C6EA808" w:rsidR="008F7FAA" w:rsidRDefault="008F7FAA" w:rsidP="008F7FAA">
      <w:pPr>
        <w:pStyle w:val="Paragraphedeliste"/>
        <w:numPr>
          <w:ilvl w:val="4"/>
          <w:numId w:val="16"/>
        </w:numPr>
      </w:pPr>
      <w:r>
        <w:t xml:space="preserve">Phase 1, dite </w:t>
      </w:r>
      <w:r w:rsidRPr="008F7FAA">
        <w:rPr>
          <w:i/>
        </w:rPr>
        <w:t>Unfreeze</w:t>
      </w:r>
      <w:r>
        <w:t xml:space="preserve">, qu’on peut traduire par « dégeler » : elle consiste à faire prendre conscience aux employés qu’il faut apporter des changements associés à la fusion ; à ce stade, l’objectif est de déceler les résistances au changement. </w:t>
      </w:r>
    </w:p>
    <w:p w14:paraId="2FAA22B3" w14:textId="1D526CF0" w:rsidR="008F7FAA" w:rsidRDefault="008F7FAA" w:rsidP="008F7FAA">
      <w:pPr>
        <w:pStyle w:val="Paragraphedeliste"/>
        <w:numPr>
          <w:ilvl w:val="4"/>
          <w:numId w:val="16"/>
        </w:numPr>
      </w:pPr>
      <w:r>
        <w:t xml:space="preserve">Phase 2, dite </w:t>
      </w:r>
      <w:r w:rsidRPr="008F7FAA">
        <w:rPr>
          <w:i/>
        </w:rPr>
        <w:t>Change</w:t>
      </w:r>
      <w:r>
        <w:t xml:space="preserve">, où on procède aux changements maintenant que les esprits y sont préparés. </w:t>
      </w:r>
    </w:p>
    <w:p w14:paraId="2D01ED2B" w14:textId="7E29EE9A" w:rsidR="008F7FAA" w:rsidRDefault="008F7FAA" w:rsidP="008F7FAA">
      <w:pPr>
        <w:pStyle w:val="Paragraphedeliste"/>
        <w:numPr>
          <w:ilvl w:val="4"/>
          <w:numId w:val="16"/>
        </w:numPr>
      </w:pPr>
      <w:r>
        <w:t xml:space="preserve">Phase 3, dite </w:t>
      </w:r>
      <w:r w:rsidRPr="008F7FAA">
        <w:rPr>
          <w:i/>
        </w:rPr>
        <w:t>Refreeze</w:t>
      </w:r>
      <w:r>
        <w:t xml:space="preserve">, qu’on peut traduire par « recongeler » : elle vise à consolider les changements apportés. </w:t>
      </w:r>
    </w:p>
    <w:p w14:paraId="3DF450AE" w14:textId="2DCF5079" w:rsidR="008F7FAA" w:rsidRDefault="008F7FAA" w:rsidP="008F7FAA">
      <w:pPr>
        <w:pStyle w:val="Paragraphedeliste"/>
        <w:numPr>
          <w:ilvl w:val="0"/>
          <w:numId w:val="13"/>
        </w:numPr>
      </w:pPr>
      <w:r>
        <w:t xml:space="preserve">L’adaptation et l’unification des systèmes de gestion des ressources humaines : rémunération incitative et reconnaissance (octroi de primes, partage de gains), formation (ouverte aux anciens et aux nouveaux ), style de leadership (autoritaire, démocratique), style de gestion, aménagement du temps de travail (flexibilité des horaires, travail à temps partiel, travail partagé, retraite progressive), conciliation travail-famille (octroi de </w:t>
      </w:r>
      <w:r>
        <w:lastRenderedPageBreak/>
        <w:t xml:space="preserve">congés sans solde), plans de carrière incluant les travailleurs </w:t>
      </w:r>
      <w:r>
        <w:tab/>
        <w:t>plus âgés (deuxième carrière, mandats de formateur, coaching, mentorat)</w:t>
      </w:r>
    </w:p>
    <w:p w14:paraId="60C7F6AE" w14:textId="38443B34" w:rsidR="008F7FAA" w:rsidRDefault="008F7FAA" w:rsidP="008F7FAA">
      <w:pPr>
        <w:pStyle w:val="Paragraphedeliste"/>
        <w:numPr>
          <w:ilvl w:val="0"/>
          <w:numId w:val="13"/>
        </w:numPr>
      </w:pPr>
      <w:r>
        <w:t>L’élaboration d’une planification du personnel incluant la gestion de la relève</w:t>
      </w:r>
    </w:p>
    <w:p w14:paraId="724F5862" w14:textId="42AA7A55" w:rsidR="008F7FAA" w:rsidRDefault="008F7FAA" w:rsidP="008F7FAA">
      <w:pPr>
        <w:pStyle w:val="Paragraphedeliste"/>
        <w:numPr>
          <w:ilvl w:val="0"/>
          <w:numId w:val="13"/>
        </w:numPr>
      </w:pPr>
      <w:r>
        <w:t>L’organisation du transfert des savoirs entre les travailleurs âgés et les plus jeunes</w:t>
      </w:r>
    </w:p>
    <w:p w14:paraId="68FEAC5F" w14:textId="1575737F" w:rsidR="008F7FAA" w:rsidRDefault="008F7FAA" w:rsidP="008F7FAA">
      <w:pPr>
        <w:pStyle w:val="Paragraphedeliste"/>
        <w:numPr>
          <w:ilvl w:val="0"/>
          <w:numId w:val="13"/>
        </w:numPr>
      </w:pPr>
      <w:r>
        <w:t>L’unification de la convention collective de concert avec le syndicat en veillant à éviter l’introduction de clauses de disparité de traitement et en s’assurant d’enchâsser des dispositions de conciliation travail-famille</w:t>
      </w:r>
    </w:p>
    <w:p w14:paraId="0D27B39F" w14:textId="4B888EC5" w:rsidR="008F7FAA" w:rsidRDefault="008F7FAA" w:rsidP="008F7FAA">
      <w:pPr>
        <w:pStyle w:val="Paragraphedeliste"/>
        <w:numPr>
          <w:ilvl w:val="0"/>
          <w:numId w:val="13"/>
        </w:numPr>
      </w:pPr>
      <w:r>
        <w:t>L’unification des systèmes financier et comptable</w:t>
      </w:r>
    </w:p>
    <w:p w14:paraId="47229EF2" w14:textId="77777777" w:rsidR="008F7FAA" w:rsidRPr="006706F1" w:rsidRDefault="008F7FAA" w:rsidP="008F7FAA">
      <w:pPr>
        <w:pStyle w:val="Titre4"/>
      </w:pPr>
      <w:r w:rsidRPr="006706F1">
        <w:t>4. Suggérez un plan pour la mise en œuvre des solutions que vous préconisez.</w:t>
      </w:r>
    </w:p>
    <w:p w14:paraId="453EA283" w14:textId="5A619F75" w:rsidR="00174253" w:rsidRPr="008F7FAA" w:rsidRDefault="008F7FAA" w:rsidP="008F7FAA">
      <w:r>
        <w:t>La mise en œuvre du plan doit préciser les ressources humaines et matérielles déployées pour mener à bien les actions choisies ainsi que les échéanciers (délais prévisionnels), sans oublier le dispositif de suivi des actions. Concrètement, on doit répondre aux questions suivantes : Qui va faire quoi ? Quand ? Comment ? Quel ordre va-t-on suivre dans l’implantation des étapes de la solution ? Bref, il faut déterminer les intrants matériels et humains nécessaires à l’implantation de la solution, ainsi qu’établir les dispositifs d’implantation et de contrôle pour avoir une rétroaction au sujet des conséquences de l’implantation.</w:t>
      </w:r>
    </w:p>
    <w:sectPr w:rsidR="00174253" w:rsidRPr="008F7FAA"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2B0BA" w14:textId="77777777" w:rsidR="00C26B98" w:rsidRDefault="00C26B98" w:rsidP="00D14FC7">
      <w:r>
        <w:separator/>
      </w:r>
    </w:p>
  </w:endnote>
  <w:endnote w:type="continuationSeparator" w:id="0">
    <w:p w14:paraId="2AA784EC" w14:textId="77777777" w:rsidR="00C26B98" w:rsidRDefault="00C26B98"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FC1A9" w14:textId="77777777" w:rsidR="00C26B98" w:rsidRDefault="00C26B98" w:rsidP="00D14FC7">
      <w:r>
        <w:separator/>
      </w:r>
    </w:p>
  </w:footnote>
  <w:footnote w:type="continuationSeparator" w:id="0">
    <w:p w14:paraId="50DE190B" w14:textId="77777777" w:rsidR="00C26B98" w:rsidRDefault="00C26B98"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87051A5"/>
    <w:multiLevelType w:val="hybridMultilevel"/>
    <w:tmpl w:val="ED184B0A"/>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C1704F8"/>
    <w:multiLevelType w:val="hybridMultilevel"/>
    <w:tmpl w:val="9C9A58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C611B6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BB7275"/>
    <w:multiLevelType w:val="hybridMultilevel"/>
    <w:tmpl w:val="60760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5C308D9"/>
    <w:multiLevelType w:val="hybridMultilevel"/>
    <w:tmpl w:val="2F7031A6"/>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7A46DA2"/>
    <w:multiLevelType w:val="hybridMultilevel"/>
    <w:tmpl w:val="4798FE16"/>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9B3680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9949B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D95529"/>
    <w:multiLevelType w:val="hybridMultilevel"/>
    <w:tmpl w:val="F2E00F14"/>
    <w:lvl w:ilvl="0" w:tplc="0C0C0001">
      <w:start w:val="1"/>
      <w:numFmt w:val="bullet"/>
      <w:lvlText w:val=""/>
      <w:lvlJc w:val="left"/>
      <w:pPr>
        <w:ind w:left="720" w:hanging="360"/>
      </w:pPr>
      <w:rPr>
        <w:rFonts w:ascii="Symbol" w:hAnsi="Symbol" w:hint="default"/>
      </w:rPr>
    </w:lvl>
    <w:lvl w:ilvl="1" w:tplc="C1B6E756">
      <w:start w:val="35"/>
      <w:numFmt w:val="bullet"/>
      <w:lvlText w:val="–"/>
      <w:lvlJc w:val="left"/>
      <w:pPr>
        <w:ind w:left="1440" w:hanging="360"/>
      </w:pPr>
      <w:rPr>
        <w:rFonts w:ascii="Arial" w:eastAsiaTheme="minorHAnsi" w:hAnsi="Arial" w:cs="Aria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83124FA"/>
    <w:multiLevelType w:val="hybridMultilevel"/>
    <w:tmpl w:val="AA72676E"/>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D4F5EC9"/>
    <w:multiLevelType w:val="hybridMultilevel"/>
    <w:tmpl w:val="1DDCE2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E150C22"/>
    <w:multiLevelType w:val="hybridMultilevel"/>
    <w:tmpl w:val="3300F2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12F1C9F"/>
    <w:multiLevelType w:val="hybridMultilevel"/>
    <w:tmpl w:val="8B1888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2EC1ED5"/>
    <w:multiLevelType w:val="hybridMultilevel"/>
    <w:tmpl w:val="224037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C146E7E"/>
    <w:multiLevelType w:val="hybridMultilevel"/>
    <w:tmpl w:val="72C4239A"/>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5"/>
  </w:num>
  <w:num w:numId="3">
    <w:abstractNumId w:val="6"/>
  </w:num>
  <w:num w:numId="4">
    <w:abstractNumId w:val="2"/>
  </w:num>
  <w:num w:numId="5">
    <w:abstractNumId w:val="12"/>
  </w:num>
  <w:num w:numId="6">
    <w:abstractNumId w:val="14"/>
  </w:num>
  <w:num w:numId="7">
    <w:abstractNumId w:val="10"/>
  </w:num>
  <w:num w:numId="8">
    <w:abstractNumId w:val="4"/>
  </w:num>
  <w:num w:numId="9">
    <w:abstractNumId w:val="11"/>
  </w:num>
  <w:num w:numId="10">
    <w:abstractNumId w:val="13"/>
  </w:num>
  <w:num w:numId="11">
    <w:abstractNumId w:val="1"/>
  </w:num>
  <w:num w:numId="12">
    <w:abstractNumId w:val="5"/>
  </w:num>
  <w:num w:numId="13">
    <w:abstractNumId w:val="9"/>
  </w:num>
  <w:num w:numId="14">
    <w:abstractNumId w:val="7"/>
  </w:num>
  <w:num w:numId="15">
    <w:abstractNumId w:val="3"/>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2691B"/>
    <w:rsid w:val="00030663"/>
    <w:rsid w:val="000313EC"/>
    <w:rsid w:val="0004419A"/>
    <w:rsid w:val="00071FF2"/>
    <w:rsid w:val="00082653"/>
    <w:rsid w:val="00084EEF"/>
    <w:rsid w:val="00094076"/>
    <w:rsid w:val="000A0F37"/>
    <w:rsid w:val="000A17FB"/>
    <w:rsid w:val="000A4484"/>
    <w:rsid w:val="000B3DEF"/>
    <w:rsid w:val="001056F5"/>
    <w:rsid w:val="0013209B"/>
    <w:rsid w:val="00142ED2"/>
    <w:rsid w:val="00174253"/>
    <w:rsid w:val="0019439E"/>
    <w:rsid w:val="001B44CC"/>
    <w:rsid w:val="001C163A"/>
    <w:rsid w:val="001C3D40"/>
    <w:rsid w:val="001D5E55"/>
    <w:rsid w:val="001E4B70"/>
    <w:rsid w:val="0021779E"/>
    <w:rsid w:val="00220C2D"/>
    <w:rsid w:val="00224F16"/>
    <w:rsid w:val="00225221"/>
    <w:rsid w:val="0023625D"/>
    <w:rsid w:val="00241F9B"/>
    <w:rsid w:val="002617B4"/>
    <w:rsid w:val="00275CB8"/>
    <w:rsid w:val="00276B8A"/>
    <w:rsid w:val="00281F62"/>
    <w:rsid w:val="002836DB"/>
    <w:rsid w:val="00286546"/>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2359E"/>
    <w:rsid w:val="00431547"/>
    <w:rsid w:val="00433A44"/>
    <w:rsid w:val="00441070"/>
    <w:rsid w:val="00460D86"/>
    <w:rsid w:val="00467D5C"/>
    <w:rsid w:val="0047121E"/>
    <w:rsid w:val="004741A6"/>
    <w:rsid w:val="00476779"/>
    <w:rsid w:val="004833AD"/>
    <w:rsid w:val="004A0850"/>
    <w:rsid w:val="004A34A6"/>
    <w:rsid w:val="004B7DB2"/>
    <w:rsid w:val="004C15D3"/>
    <w:rsid w:val="004D7D38"/>
    <w:rsid w:val="004F2807"/>
    <w:rsid w:val="004F70DC"/>
    <w:rsid w:val="00500FFF"/>
    <w:rsid w:val="005044A8"/>
    <w:rsid w:val="005274DE"/>
    <w:rsid w:val="0053271D"/>
    <w:rsid w:val="00532C38"/>
    <w:rsid w:val="0054249E"/>
    <w:rsid w:val="00551C2F"/>
    <w:rsid w:val="00554CDB"/>
    <w:rsid w:val="005576FE"/>
    <w:rsid w:val="00571604"/>
    <w:rsid w:val="00576355"/>
    <w:rsid w:val="00582B23"/>
    <w:rsid w:val="005A02C4"/>
    <w:rsid w:val="005A21A9"/>
    <w:rsid w:val="005C72BF"/>
    <w:rsid w:val="005D7389"/>
    <w:rsid w:val="00606B59"/>
    <w:rsid w:val="006230F9"/>
    <w:rsid w:val="00623846"/>
    <w:rsid w:val="00624343"/>
    <w:rsid w:val="006244B4"/>
    <w:rsid w:val="00672805"/>
    <w:rsid w:val="00674317"/>
    <w:rsid w:val="00682A23"/>
    <w:rsid w:val="00683029"/>
    <w:rsid w:val="006927B2"/>
    <w:rsid w:val="006A6A90"/>
    <w:rsid w:val="006C4E5F"/>
    <w:rsid w:val="006D1A2D"/>
    <w:rsid w:val="006E13B4"/>
    <w:rsid w:val="006E34ED"/>
    <w:rsid w:val="006E71AC"/>
    <w:rsid w:val="006F1FFE"/>
    <w:rsid w:val="0071497A"/>
    <w:rsid w:val="00722CF7"/>
    <w:rsid w:val="007277EC"/>
    <w:rsid w:val="00747ECE"/>
    <w:rsid w:val="007557F0"/>
    <w:rsid w:val="0075787C"/>
    <w:rsid w:val="007852D2"/>
    <w:rsid w:val="0079110D"/>
    <w:rsid w:val="007A3418"/>
    <w:rsid w:val="007A685E"/>
    <w:rsid w:val="007D178D"/>
    <w:rsid w:val="007E2E07"/>
    <w:rsid w:val="007F742F"/>
    <w:rsid w:val="00804272"/>
    <w:rsid w:val="00813D73"/>
    <w:rsid w:val="00813E6F"/>
    <w:rsid w:val="00825669"/>
    <w:rsid w:val="00827C32"/>
    <w:rsid w:val="00833415"/>
    <w:rsid w:val="00842DD3"/>
    <w:rsid w:val="0086234F"/>
    <w:rsid w:val="008628DA"/>
    <w:rsid w:val="00881DD4"/>
    <w:rsid w:val="008B1D11"/>
    <w:rsid w:val="008C53FD"/>
    <w:rsid w:val="008C6B48"/>
    <w:rsid w:val="008E0B91"/>
    <w:rsid w:val="008F7FAA"/>
    <w:rsid w:val="0090546A"/>
    <w:rsid w:val="009125B7"/>
    <w:rsid w:val="009143FE"/>
    <w:rsid w:val="00920219"/>
    <w:rsid w:val="009231C0"/>
    <w:rsid w:val="00990800"/>
    <w:rsid w:val="00991994"/>
    <w:rsid w:val="00995D80"/>
    <w:rsid w:val="009A5EF6"/>
    <w:rsid w:val="009B04D2"/>
    <w:rsid w:val="009C34F9"/>
    <w:rsid w:val="009C65D5"/>
    <w:rsid w:val="009D1A3A"/>
    <w:rsid w:val="009D5A5B"/>
    <w:rsid w:val="009D5D53"/>
    <w:rsid w:val="009E0BF2"/>
    <w:rsid w:val="009F524A"/>
    <w:rsid w:val="009F6E0E"/>
    <w:rsid w:val="00A00A07"/>
    <w:rsid w:val="00A106BE"/>
    <w:rsid w:val="00A1168C"/>
    <w:rsid w:val="00A227FD"/>
    <w:rsid w:val="00A22DCE"/>
    <w:rsid w:val="00A34074"/>
    <w:rsid w:val="00A5296B"/>
    <w:rsid w:val="00A556A5"/>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2769D"/>
    <w:rsid w:val="00B53A1F"/>
    <w:rsid w:val="00B750E5"/>
    <w:rsid w:val="00B854E7"/>
    <w:rsid w:val="00B965E9"/>
    <w:rsid w:val="00BA0CE9"/>
    <w:rsid w:val="00BD016A"/>
    <w:rsid w:val="00C26993"/>
    <w:rsid w:val="00C26B98"/>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52B82"/>
    <w:rsid w:val="00D54DC0"/>
    <w:rsid w:val="00D60772"/>
    <w:rsid w:val="00D70132"/>
    <w:rsid w:val="00DA6FF4"/>
    <w:rsid w:val="00DB1325"/>
    <w:rsid w:val="00DB5188"/>
    <w:rsid w:val="00DC3190"/>
    <w:rsid w:val="00DC395A"/>
    <w:rsid w:val="00DF2700"/>
    <w:rsid w:val="00E00780"/>
    <w:rsid w:val="00E03553"/>
    <w:rsid w:val="00E07D6F"/>
    <w:rsid w:val="00E11D92"/>
    <w:rsid w:val="00E167E7"/>
    <w:rsid w:val="00E23F40"/>
    <w:rsid w:val="00E267B1"/>
    <w:rsid w:val="00E26AA4"/>
    <w:rsid w:val="00E27BC9"/>
    <w:rsid w:val="00E628A5"/>
    <w:rsid w:val="00E7099C"/>
    <w:rsid w:val="00E70EF0"/>
    <w:rsid w:val="00EA02EF"/>
    <w:rsid w:val="00EA0D6D"/>
    <w:rsid w:val="00EA37E2"/>
    <w:rsid w:val="00EB3FF5"/>
    <w:rsid w:val="00EB5730"/>
    <w:rsid w:val="00EC02D6"/>
    <w:rsid w:val="00EC7262"/>
    <w:rsid w:val="00ED2A05"/>
    <w:rsid w:val="00ED2F38"/>
    <w:rsid w:val="00F23513"/>
    <w:rsid w:val="00F34046"/>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1"/>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4A9E0-B099-410E-A74D-50A61095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1435</Words>
  <Characters>7896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9313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5</cp:revision>
  <cp:lastPrinted>2019-03-13T15:05:00Z</cp:lastPrinted>
  <dcterms:created xsi:type="dcterms:W3CDTF">2020-12-03T18:57:00Z</dcterms:created>
  <dcterms:modified xsi:type="dcterms:W3CDTF">2020-12-03T19:19:00Z</dcterms:modified>
  <cp:category/>
</cp:coreProperties>
</file>